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Look w:val="04A0" w:firstRow="1" w:lastRow="0" w:firstColumn="1" w:lastColumn="0" w:noHBand="0" w:noVBand="1"/>
      </w:tblPr>
      <w:tblGrid>
        <w:gridCol w:w="906"/>
        <w:gridCol w:w="6583"/>
        <w:gridCol w:w="1123"/>
      </w:tblGrid>
      <w:tr w:rsidR="000A70BD" w:rsidRPr="0005660E" w:rsidTr="000F41B8">
        <w:trPr>
          <w:trHeight w:val="1276"/>
        </w:trPr>
        <w:tc>
          <w:tcPr>
            <w:tcW w:w="704" w:type="dxa"/>
          </w:tcPr>
          <w:p w:rsidR="000A70BD" w:rsidRPr="0005660E" w:rsidRDefault="000A70BD" w:rsidP="000F41B8">
            <w:pPr>
              <w:jc w:val="right"/>
              <w:rPr>
                <w:rFonts w:eastAsia="ＭＳ 明朝"/>
                <w:lang w:eastAsia="ja-JP"/>
              </w:rPr>
            </w:pPr>
            <w:r>
              <w:rPr>
                <w:rFonts w:eastAsia="ＭＳ 明朝"/>
                <w:noProof/>
                <w:lang w:val="es-SV" w:eastAsia="es-SV"/>
              </w:rPr>
              <w:drawing>
                <wp:inline distT="0" distB="0" distL="0" distR="0">
                  <wp:extent cx="438150" cy="86424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ARU-R3_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84722" cy="956103"/>
                          </a:xfrm>
                          <a:prstGeom prst="rect">
                            <a:avLst/>
                          </a:prstGeom>
                        </pic:spPr>
                      </pic:pic>
                    </a:graphicData>
                  </a:graphic>
                </wp:inline>
              </w:drawing>
            </w:r>
          </w:p>
        </w:tc>
        <w:tc>
          <w:tcPr>
            <w:tcW w:w="7093" w:type="dxa"/>
          </w:tcPr>
          <w:p w:rsidR="000A70BD" w:rsidRDefault="000A70BD" w:rsidP="000F41B8">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UNION</w:t>
            </w:r>
          </w:p>
          <w:p w:rsidR="000A70BD" w:rsidRDefault="000A70BD" w:rsidP="000F41B8">
            <w:pPr>
              <w:jc w:val="center"/>
              <w:rPr>
                <w:b/>
                <w:smallCaps/>
                <w:sz w:val="30"/>
              </w:rPr>
            </w:pPr>
            <w:r>
              <w:rPr>
                <w:rFonts w:hint="eastAsia"/>
                <w:b/>
                <w:position w:val="6"/>
                <w:sz w:val="30"/>
              </w:rPr>
              <w:t>REGION 3</w:t>
            </w:r>
          </w:p>
          <w:p w:rsidR="000A70BD" w:rsidRPr="009C09CD" w:rsidRDefault="000A70BD" w:rsidP="000A70BD">
            <w:pPr>
              <w:jc w:val="center"/>
              <w:rPr>
                <w:rFonts w:eastAsia="ＭＳ 明朝"/>
                <w:b/>
                <w:sz w:val="30"/>
                <w:szCs w:val="30"/>
                <w:lang w:eastAsia="ja-JP"/>
              </w:rPr>
            </w:pPr>
            <w:r w:rsidRPr="009C09CD">
              <w:rPr>
                <w:rFonts w:eastAsia="ＭＳ 明朝"/>
                <w:b/>
                <w:sz w:val="30"/>
                <w:szCs w:val="30"/>
                <w:lang w:eastAsia="ja-JP"/>
              </w:rPr>
              <w:t>S</w:t>
            </w:r>
            <w:r>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rsidR="000A70BD" w:rsidRPr="0005660E" w:rsidRDefault="000A70BD" w:rsidP="000F41B8">
            <w:pPr>
              <w:jc w:val="right"/>
              <w:rPr>
                <w:rFonts w:eastAsia="ＭＳ 明朝"/>
                <w:lang w:eastAsia="ja-JP"/>
              </w:rPr>
            </w:pPr>
            <w:r>
              <w:rPr>
                <w:rFonts w:eastAsia="ＭＳ 明朝"/>
                <w:noProof/>
                <w:lang w:val="es-SV" w:eastAsia="es-SV"/>
              </w:rPr>
              <w:drawing>
                <wp:inline distT="0" distB="0" distL="0" distR="0">
                  <wp:extent cx="576265" cy="909527"/>
                  <wp:effectExtent l="0" t="0" r="0" b="508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ARL_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6638" cy="957465"/>
                          </a:xfrm>
                          <a:prstGeom prst="rect">
                            <a:avLst/>
                          </a:prstGeom>
                        </pic:spPr>
                      </pic:pic>
                    </a:graphicData>
                  </a:graphic>
                </wp:inline>
              </w:drawing>
            </w:r>
          </w:p>
        </w:tc>
      </w:tr>
    </w:tbl>
    <w:p w:rsidR="000A70BD" w:rsidRDefault="000A70BD" w:rsidP="000A70BD">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Pr>
          <w:rFonts w:hint="eastAsia"/>
          <w:sz w:val="21"/>
          <w:lang w:val="en-US"/>
        </w:rPr>
        <w:t xml:space="preserve">0 </w:t>
      </w:r>
      <w:r>
        <w:rPr>
          <w:sz w:val="21"/>
          <w:lang w:val="en-US"/>
        </w:rPr>
        <w:t>–</w:t>
      </w:r>
      <w:r>
        <w:rPr>
          <w:rFonts w:hint="eastAsia"/>
          <w:sz w:val="21"/>
          <w:lang w:val="en-US"/>
        </w:rPr>
        <w:t xml:space="preserve"> </w:t>
      </w:r>
      <w:r>
        <w:rPr>
          <w:sz w:val="21"/>
          <w:lang w:val="en-US"/>
        </w:rPr>
        <w:t>14</w:t>
      </w:r>
      <w:r>
        <w:rPr>
          <w:rFonts w:hint="eastAsia"/>
          <w:sz w:val="21"/>
          <w:lang w:val="en-US"/>
        </w:rPr>
        <w:t xml:space="preserve"> </w:t>
      </w:r>
      <w:r>
        <w:rPr>
          <w:sz w:val="21"/>
          <w:lang w:val="en-US"/>
        </w:rPr>
        <w:t>Septem</w:t>
      </w:r>
      <w:r>
        <w:rPr>
          <w:rFonts w:hint="eastAsia"/>
          <w:sz w:val="21"/>
          <w:lang w:val="en-US"/>
        </w:rPr>
        <w:t>ber 201</w:t>
      </w:r>
      <w:r>
        <w:rPr>
          <w:sz w:val="21"/>
          <w:lang w:val="en-US"/>
        </w:rPr>
        <w:t>8</w:t>
      </w:r>
      <w:r>
        <w:rPr>
          <w:rFonts w:hint="eastAsia"/>
          <w:sz w:val="21"/>
          <w:lang w:val="en-US"/>
        </w:rPr>
        <w:tab/>
      </w:r>
      <w:r>
        <w:rPr>
          <w:sz w:val="21"/>
          <w:lang w:val="en-US"/>
        </w:rPr>
        <w:t>Seoul, Korea</w:t>
      </w:r>
    </w:p>
    <w:p w:rsidR="000A70BD" w:rsidRDefault="000A70BD" w:rsidP="000A70BD">
      <w:pPr>
        <w:pStyle w:val="Data"/>
        <w:rPr>
          <w:sz w:val="20"/>
          <w:lang w:val="en-US"/>
        </w:rPr>
      </w:pPr>
    </w:p>
    <w:p w:rsidR="000A70BD" w:rsidRDefault="000A70BD" w:rsidP="000A70BD">
      <w:pPr>
        <w:pStyle w:val="Head"/>
        <w:tabs>
          <w:tab w:val="clear" w:pos="6663"/>
        </w:tabs>
        <w:wordWrap w:val="0"/>
        <w:ind w:rightChars="-70" w:right="-168"/>
        <w:jc w:val="right"/>
        <w:rPr>
          <w:lang w:val="en-US"/>
        </w:rPr>
      </w:pPr>
      <w:r>
        <w:rPr>
          <w:b/>
          <w:lang w:val="en-US"/>
        </w:rPr>
        <w:t xml:space="preserve">Document </w:t>
      </w:r>
      <w:r>
        <w:rPr>
          <w:rFonts w:hint="eastAsia"/>
          <w:b/>
          <w:lang w:val="en-US"/>
        </w:rPr>
        <w:t>No. 1</w:t>
      </w:r>
      <w:r>
        <w:rPr>
          <w:b/>
          <w:lang w:val="en-US"/>
        </w:rPr>
        <w:t>8</w:t>
      </w:r>
      <w:r>
        <w:rPr>
          <w:rFonts w:hint="eastAsia"/>
          <w:b/>
          <w:lang w:val="en-US"/>
        </w:rPr>
        <w:t>/XV</w:t>
      </w:r>
      <w:r>
        <w:rPr>
          <w:b/>
          <w:lang w:val="en-US"/>
        </w:rPr>
        <w:t>II</w:t>
      </w:r>
      <w:r>
        <w:rPr>
          <w:rFonts w:hint="eastAsia"/>
          <w:b/>
          <w:lang w:val="en-US"/>
        </w:rPr>
        <w:t>/</w:t>
      </w:r>
      <w:r w:rsidR="00FD6C30">
        <w:rPr>
          <w:rFonts w:hint="eastAsia"/>
          <w:b/>
          <w:lang w:val="en-US"/>
        </w:rPr>
        <w:t>01</w:t>
      </w:r>
      <w:r w:rsidR="00EB7546">
        <w:rPr>
          <w:b/>
          <w:lang w:val="en-US"/>
        </w:rPr>
        <w:t>3</w:t>
      </w:r>
    </w:p>
    <w:p w:rsidR="000A70BD" w:rsidRPr="00C24F4B" w:rsidRDefault="000A70BD" w:rsidP="000A70BD">
      <w:pPr>
        <w:pStyle w:val="Head"/>
        <w:tabs>
          <w:tab w:val="clear" w:pos="6663"/>
        </w:tabs>
        <w:wordWrap w:val="0"/>
        <w:ind w:rightChars="-70" w:right="-168"/>
        <w:jc w:val="right"/>
        <w:rPr>
          <w:rFonts w:asciiTheme="minorHAnsi" w:hAnsiTheme="minorHAnsi"/>
          <w:b/>
          <w:sz w:val="22"/>
          <w:szCs w:val="22"/>
        </w:rPr>
      </w:pPr>
      <w:r w:rsidRPr="00C24F4B">
        <w:rPr>
          <w:rFonts w:hint="eastAsia"/>
          <w:b/>
          <w:lang w:val="en-US"/>
        </w:rPr>
        <w:t xml:space="preserve">Agenda Item: </w:t>
      </w:r>
      <w:r w:rsidR="00FD6C30" w:rsidRPr="00C24F4B">
        <w:rPr>
          <w:b/>
          <w:lang w:val="en-US"/>
        </w:rPr>
        <w:t>10.3</w:t>
      </w:r>
    </w:p>
    <w:p w:rsidR="008B5ECC" w:rsidRDefault="008B5ECC" w:rsidP="00CA7570">
      <w:pPr>
        <w:pStyle w:val="1"/>
        <w:tabs>
          <w:tab w:val="clear" w:pos="794"/>
          <w:tab w:val="clear" w:pos="1191"/>
          <w:tab w:val="clear" w:pos="1588"/>
          <w:tab w:val="clear" w:pos="1985"/>
        </w:tabs>
        <w:jc w:val="center"/>
        <w:rPr>
          <w:b/>
          <w:bCs/>
          <w:lang w:val="en-US"/>
        </w:rPr>
      </w:pPr>
    </w:p>
    <w:p w:rsidR="00CA7570" w:rsidRDefault="0059362C" w:rsidP="00CA7570">
      <w:pPr>
        <w:pStyle w:val="1"/>
        <w:tabs>
          <w:tab w:val="clear" w:pos="794"/>
          <w:tab w:val="clear" w:pos="1191"/>
          <w:tab w:val="clear" w:pos="1588"/>
          <w:tab w:val="clear" w:pos="1985"/>
        </w:tabs>
        <w:jc w:val="center"/>
        <w:rPr>
          <w:b/>
          <w:bCs/>
          <w:lang w:val="en-US"/>
        </w:rPr>
      </w:pPr>
      <w:r>
        <w:rPr>
          <w:b/>
          <w:bCs/>
          <w:lang w:val="en-US"/>
        </w:rPr>
        <w:t>REGION 2 TO REGION 3 17</w:t>
      </w:r>
      <w:r w:rsidRPr="0059362C">
        <w:rPr>
          <w:b/>
          <w:bCs/>
          <w:vertAlign w:val="superscript"/>
          <w:lang w:val="en-US"/>
        </w:rPr>
        <w:t>TH</w:t>
      </w:r>
      <w:r>
        <w:rPr>
          <w:b/>
          <w:bCs/>
          <w:lang w:val="en-US"/>
        </w:rPr>
        <w:t xml:space="preserve"> CONFERENCE REPORT</w:t>
      </w:r>
    </w:p>
    <w:p w:rsidR="00CA7570" w:rsidRDefault="00CA7570" w:rsidP="00CA7570">
      <w:pPr>
        <w:rPr>
          <w:rFonts w:eastAsia="ＭＳ 明朝"/>
          <w:lang w:eastAsia="ja-JP"/>
        </w:rPr>
      </w:pPr>
    </w:p>
    <w:p w:rsidR="00645C01" w:rsidRPr="00B12E9D" w:rsidRDefault="00645C01" w:rsidP="00645C01">
      <w:pPr>
        <w:jc w:val="center"/>
        <w:rPr>
          <w:b/>
        </w:rPr>
      </w:pPr>
      <w:r w:rsidRPr="00B12E9D">
        <w:rPr>
          <w:b/>
        </w:rPr>
        <w:t>IARU REGION 2 REPORT</w:t>
      </w:r>
    </w:p>
    <w:p w:rsidR="00645C01" w:rsidRPr="00B12E9D" w:rsidRDefault="00645C01" w:rsidP="00645C01">
      <w:bookmarkStart w:id="0" w:name="_GoBack"/>
      <w:bookmarkEnd w:id="0"/>
    </w:p>
    <w:p w:rsidR="00A528F1" w:rsidRDefault="00A528F1" w:rsidP="00A528F1">
      <w:r>
        <w:t>The present report highlights the main activities within Region 2 for the period from September 2017 to September 2018.</w:t>
      </w:r>
    </w:p>
    <w:p w:rsidR="00A528F1" w:rsidRDefault="00A528F1" w:rsidP="00A528F1"/>
    <w:p w:rsidR="00A528F1" w:rsidRPr="00A528F1" w:rsidRDefault="00A528F1" w:rsidP="00A528F1">
      <w:pPr>
        <w:rPr>
          <w:b/>
        </w:rPr>
      </w:pPr>
      <w:r w:rsidRPr="00A528F1">
        <w:rPr>
          <w:b/>
        </w:rPr>
        <w:t xml:space="preserve">IARU R2 matters </w:t>
      </w:r>
    </w:p>
    <w:p w:rsidR="00A528F1" w:rsidRDefault="00A528F1" w:rsidP="00A528F1"/>
    <w:p w:rsidR="00A528F1" w:rsidRDefault="00A528F1" w:rsidP="00A528F1">
      <w:r>
        <w:t>The Region 2 Executive Committee Annual Meeting was held in Guayaquil, Ecuador, on September 2-3, 2017.  Besides the in</w:t>
      </w:r>
      <w:r w:rsidR="00CB289C">
        <w:t>-</w:t>
      </w:r>
      <w:r>
        <w:t xml:space="preserve">person meeting, and for a second year, we are having three extra virtual meetings that allow us to maintain a better contact and to provide follow-up to current Region 2 issues within a shorter span of time. </w:t>
      </w:r>
    </w:p>
    <w:p w:rsidR="00A528F1" w:rsidRDefault="00A528F1" w:rsidP="00A528F1"/>
    <w:p w:rsidR="00A528F1" w:rsidRDefault="00A528F1" w:rsidP="00A528F1">
      <w:r>
        <w:t xml:space="preserve">Our next in-person EC meeting will be held in Panama City, Panama on October 13-14 of this year. </w:t>
      </w:r>
    </w:p>
    <w:p w:rsidR="00A528F1" w:rsidRDefault="00A528F1" w:rsidP="00A528F1"/>
    <w:p w:rsidR="00A528F1" w:rsidRDefault="00A528F1" w:rsidP="00A528F1">
      <w:r>
        <w:t>The next IARU R2 General Assembly will take place in Lima, Peru, on the week starting September 30, 2019.</w:t>
      </w:r>
    </w:p>
    <w:p w:rsidR="00A528F1" w:rsidRDefault="00A528F1" w:rsidP="00A528F1"/>
    <w:p w:rsidR="00A528F1" w:rsidRDefault="00A528F1" w:rsidP="00A528F1">
      <w:r>
        <w:t>During last year</w:t>
      </w:r>
      <w:r w:rsidR="00CB289C">
        <w:t>,</w:t>
      </w:r>
      <w:r>
        <w:t xml:space="preserve"> the Band Planning Committee was finally integrated and started to work. In accordance with the Committee’s terms of reference, it will deal with all matters relating to Amateur spectrum allocations such as band planning and general operating standards and practices, and will provide advice to the Region 2 Executive Committee. </w:t>
      </w:r>
    </w:p>
    <w:p w:rsidR="00A528F1" w:rsidRDefault="00A528F1" w:rsidP="00A528F1"/>
    <w:p w:rsidR="00A528F1" w:rsidRDefault="00A528F1" w:rsidP="00A528F1">
      <w:r>
        <w:lastRenderedPageBreak/>
        <w:t xml:space="preserve">One of the most important tasks of the Committee will be to </w:t>
      </w:r>
      <w:r w:rsidR="00CB289C">
        <w:t>a</w:t>
      </w:r>
      <w:r>
        <w:t>ct as the Single Point of Contact (SPOC) with the Region 1 and 3 Band Planning Committees. This will enable the IARU to create a global approach to band planning. The Chairman of the Committee is Alphonse Penney, VO1NO.</w:t>
      </w:r>
    </w:p>
    <w:p w:rsidR="00A528F1" w:rsidRDefault="00A528F1" w:rsidP="00A528F1"/>
    <w:p w:rsidR="00A528F1" w:rsidRPr="00A528F1" w:rsidRDefault="00A528F1" w:rsidP="00A528F1">
      <w:pPr>
        <w:rPr>
          <w:b/>
        </w:rPr>
      </w:pPr>
      <w:r w:rsidRPr="00A528F1">
        <w:rPr>
          <w:b/>
        </w:rPr>
        <w:t>Inter-American Telecommunications Commission - CITEL</w:t>
      </w:r>
    </w:p>
    <w:p w:rsidR="00A528F1" w:rsidRDefault="00A528F1" w:rsidP="00A528F1"/>
    <w:p w:rsidR="00A528F1" w:rsidRDefault="00A528F1" w:rsidP="00A528F1">
      <w:r>
        <w:t xml:space="preserve">Region 2 has been present in two CITEL meetings during this period. </w:t>
      </w:r>
    </w:p>
    <w:p w:rsidR="00A528F1" w:rsidRDefault="00A528F1" w:rsidP="00A528F1"/>
    <w:p w:rsidR="00A528F1" w:rsidRDefault="00A528F1" w:rsidP="00A528F1">
      <w:r>
        <w:t xml:space="preserve">The first one was held in Barranquilla, Colombia on Nov 26-Dec 1, 2017. The issues discussed there were a continuation from the June 2017 Orlando meeting plus an Agenda Item mentioning an allocation of the 50-54 MHz frequency band to the amateur radio service in Region 1, in accordance with Resolution WRC 658 (WRC-15). </w:t>
      </w:r>
    </w:p>
    <w:p w:rsidR="00A528F1" w:rsidRDefault="00A528F1" w:rsidP="00A528F1"/>
    <w:p w:rsidR="00A528F1" w:rsidRDefault="00A528F1" w:rsidP="00A528F1">
      <w:r>
        <w:t xml:space="preserve">The second one was a very recent CITEL meeting in Guadalajara, Mexico, held on July 16-20, 2018, where </w:t>
      </w:r>
      <w:proofErr w:type="spellStart"/>
      <w:r>
        <w:t>Flávio</w:t>
      </w:r>
      <w:proofErr w:type="spellEnd"/>
      <w:r>
        <w:t xml:space="preserve"> </w:t>
      </w:r>
      <w:proofErr w:type="spellStart"/>
      <w:r>
        <w:t>Archangelo</w:t>
      </w:r>
      <w:proofErr w:type="spellEnd"/>
      <w:r>
        <w:t>, PY2ZX, attended in representation of Region 2. REV 2 to the Inter-American Proposal (IAP) for WRC-19 agenda item 1.1 its already supported by 9 R2 countries: ARG, BAH, B, CAN, CLM, EQA, MEX, USA, URG.</w:t>
      </w:r>
    </w:p>
    <w:p w:rsidR="00A528F1" w:rsidRDefault="00A528F1" w:rsidP="00A528F1"/>
    <w:p w:rsidR="00A528F1" w:rsidRPr="00A528F1" w:rsidRDefault="00A528F1" w:rsidP="00A528F1">
      <w:pPr>
        <w:rPr>
          <w:b/>
        </w:rPr>
      </w:pPr>
      <w:r w:rsidRPr="00A528F1">
        <w:rPr>
          <w:b/>
        </w:rPr>
        <w:t>Caribbean Telecommunication Union - CTU</w:t>
      </w:r>
    </w:p>
    <w:p w:rsidR="00A528F1" w:rsidRDefault="00A528F1" w:rsidP="00A528F1"/>
    <w:p w:rsidR="00A528F1" w:rsidRDefault="00A528F1" w:rsidP="00A528F1">
      <w:r>
        <w:t>Noel Donawa 9Y4X reports that at the January 2018 SMPT meeting in Port of Spain presentations were delivered on the Agenda Items for WRC-19 and CITEL positions. Respective delegates from CTU member state administrations indicated their position and variations on agenda items of interest however no final decision on a regional position was made.   Further dialog would be on the agenda for the next SMTP meeting, November 27th to 29th.</w:t>
      </w:r>
    </w:p>
    <w:p w:rsidR="00A528F1" w:rsidRDefault="00A528F1" w:rsidP="00A528F1"/>
    <w:p w:rsidR="00A528F1" w:rsidRPr="00A528F1" w:rsidRDefault="00A528F1" w:rsidP="00A528F1">
      <w:pPr>
        <w:rPr>
          <w:b/>
        </w:rPr>
      </w:pPr>
      <w:r w:rsidRPr="00A528F1">
        <w:rPr>
          <w:b/>
        </w:rPr>
        <w:t>Other matters</w:t>
      </w:r>
    </w:p>
    <w:p w:rsidR="00A528F1" w:rsidRDefault="00A528F1" w:rsidP="00A528F1"/>
    <w:p w:rsidR="00A528F1" w:rsidRDefault="00A528F1" w:rsidP="00A528F1">
      <w:r>
        <w:t xml:space="preserve">ITU Emergency Telecommunications Project: After a long planning phase, this project, whose pilot phase focuses on the Central American countries and the Dominican Republic, is finally becoming a reality. The equipment already reached the countries and installation and training will begin in August 2017, thanks to the efforts of FMRE, our Mexican member society, and of several selfless colleagues that will contribute their knowledge and experience for the launching of the stations, which are based on the </w:t>
      </w:r>
      <w:proofErr w:type="spellStart"/>
      <w:r>
        <w:t>WinLink</w:t>
      </w:r>
      <w:proofErr w:type="spellEnd"/>
      <w:r>
        <w:t xml:space="preserve"> system. </w:t>
      </w:r>
    </w:p>
    <w:p w:rsidR="00A528F1" w:rsidRDefault="00A528F1" w:rsidP="00A528F1"/>
    <w:p w:rsidR="00A528F1" w:rsidRDefault="00A528F1" w:rsidP="00A528F1">
      <w:r>
        <w:t>A significant event for this year is the admission of yet another member society from Region 2: St. Kitts-Nevis-Anguilla Amateur Radio Society (SKNAARS) after receiving the necessary voters for approval of its admission.   The previous new member to the IARU family was BARC from Belize.</w:t>
      </w:r>
    </w:p>
    <w:p w:rsidR="00A528F1" w:rsidRDefault="00A528F1" w:rsidP="00A528F1"/>
    <w:p w:rsidR="00A528F1" w:rsidRDefault="00A528F1" w:rsidP="00A528F1">
      <w:r>
        <w:t xml:space="preserve">The Central American Federation of Radio Amateurs (FRACAP) held its annual convention on November 2017 in Retalhuleu, Guatemala, with the attendance of radio amateurs from most of the Central American countries, Mexico and the United States. This year’s convention will be held in November 16-18 in </w:t>
      </w:r>
      <w:proofErr w:type="spellStart"/>
      <w:r>
        <w:t>Chitre</w:t>
      </w:r>
      <w:proofErr w:type="spellEnd"/>
      <w:r>
        <w:t xml:space="preserve">, Panama. </w:t>
      </w:r>
    </w:p>
    <w:p w:rsidR="00695BBB" w:rsidRDefault="00695BBB" w:rsidP="00645C01"/>
    <w:p w:rsidR="008B5ECC" w:rsidRPr="00695BBB" w:rsidRDefault="008B5ECC" w:rsidP="00645C01">
      <w:r>
        <w:t xml:space="preserve">The Executive Committee of IARU Region 2 sends its very best wishes to Region 3 for a very productive and successful </w:t>
      </w:r>
      <w:r w:rsidR="00BD3D73">
        <w:t xml:space="preserve">triennial </w:t>
      </w:r>
      <w:r>
        <w:t xml:space="preserve">conference </w:t>
      </w:r>
      <w:r w:rsidR="00BD3D73">
        <w:t>in Seoul, Korea.</w:t>
      </w:r>
    </w:p>
    <w:p w:rsidR="00645C01" w:rsidRPr="00B12E9D" w:rsidRDefault="00645C01" w:rsidP="00645C01">
      <w:pPr>
        <w:jc w:val="both"/>
      </w:pPr>
    </w:p>
    <w:p w:rsidR="00645C01" w:rsidRPr="00B12E9D" w:rsidRDefault="00645C01" w:rsidP="00645C01">
      <w:pPr>
        <w:jc w:val="both"/>
      </w:pPr>
      <w:r w:rsidRPr="00B12E9D">
        <w:t xml:space="preserve">Respectfully submitted, </w:t>
      </w:r>
    </w:p>
    <w:p w:rsidR="00645C01" w:rsidRPr="00B12E9D" w:rsidRDefault="00645C01" w:rsidP="00645C01">
      <w:pPr>
        <w:jc w:val="both"/>
      </w:pPr>
    </w:p>
    <w:p w:rsidR="00645C01" w:rsidRPr="00B12E9D" w:rsidRDefault="00645C01" w:rsidP="00645C01">
      <w:pPr>
        <w:jc w:val="both"/>
      </w:pPr>
      <w:r w:rsidRPr="00B12E9D">
        <w:t xml:space="preserve">José Arturo Molina, YS1MS </w:t>
      </w:r>
    </w:p>
    <w:p w:rsidR="00645C01" w:rsidRPr="00B12E9D" w:rsidRDefault="00645C01" w:rsidP="00645C01">
      <w:r w:rsidRPr="00B12E9D">
        <w:t>Secretary, Executive Committee</w:t>
      </w:r>
    </w:p>
    <w:p w:rsidR="00645C01" w:rsidRPr="00801E84" w:rsidRDefault="00645C01" w:rsidP="00645C01">
      <w:r w:rsidRPr="00B12E9D">
        <w:t>IARU Region 2</w:t>
      </w:r>
      <w:r w:rsidRPr="00801E84">
        <w:t xml:space="preserve">    </w:t>
      </w:r>
    </w:p>
    <w:p w:rsidR="00CA7570" w:rsidRDefault="00CA7570" w:rsidP="00CA7570">
      <w:pPr>
        <w:rPr>
          <w:rFonts w:eastAsia="ＭＳ 明朝"/>
          <w:lang w:eastAsia="ja-JP"/>
        </w:rPr>
      </w:pPr>
    </w:p>
    <w:p w:rsidR="00CA7570" w:rsidRDefault="00CA7570" w:rsidP="00CA7570">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rsidR="00CA7570" w:rsidRPr="00156D1D" w:rsidRDefault="00CA7570" w:rsidP="00CA7570">
      <w:pPr>
        <w:rPr>
          <w:rFonts w:eastAsia="ＭＳ 明朝"/>
          <w:lang w:eastAsia="ja-JP"/>
        </w:rPr>
      </w:pPr>
    </w:p>
    <w:p w:rsidR="009322D5" w:rsidRDefault="009322D5"/>
    <w:sectPr w:rsidR="009322D5" w:rsidSect="00CA7570">
      <w:headerReference w:type="default" r:id="rId9"/>
      <w:pgSz w:w="11906" w:h="16838"/>
      <w:pgMar w:top="1985" w:right="1701" w:bottom="1701" w:left="1701"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136CC" w:rsidRDefault="00F136CC" w:rsidP="00CA7570">
      <w:r>
        <w:separator/>
      </w:r>
    </w:p>
  </w:endnote>
  <w:endnote w:type="continuationSeparator" w:id="0">
    <w:p w:rsidR="00F136CC" w:rsidRDefault="00F136CC" w:rsidP="00CA7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BatangChe">
    <w:altName w:val="BatangChe"/>
    <w:charset w:val="81"/>
    <w:family w:val="modern"/>
    <w:pitch w:val="fixed"/>
    <w:sig w:usb0="B00002AF" w:usb1="69D77CFB" w:usb2="00000030" w:usb3="00000000" w:csb0="0008009F" w:csb1="00000000"/>
  </w:font>
  <w:font w:name="Tahoma">
    <w:panose1 w:val="020B0604030504040204"/>
    <w:charset w:val="00"/>
    <w:family w:val="swiss"/>
    <w:pitch w:val="variable"/>
    <w:sig w:usb0="21002A87" w:usb1="00000000" w:usb2="00000000" w:usb3="00000000" w:csb0="0001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136CC" w:rsidRDefault="00F136CC" w:rsidP="00CA7570">
      <w:r>
        <w:separator/>
      </w:r>
    </w:p>
  </w:footnote>
  <w:footnote w:type="continuationSeparator" w:id="0">
    <w:p w:rsidR="00F136CC" w:rsidRDefault="00F136CC" w:rsidP="00CA75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7570" w:rsidRPr="00CA7570" w:rsidRDefault="00CA7570" w:rsidP="00CA7570">
    <w:pPr>
      <w:pStyle w:val="a3"/>
      <w:jc w:val="center"/>
      <w:rPr>
        <w:sz w:val="21"/>
        <w:szCs w:val="21"/>
      </w:rPr>
    </w:pPr>
    <w:r w:rsidRPr="00726191">
      <w:rPr>
        <w:sz w:val="20"/>
        <w:szCs w:val="20"/>
      </w:rPr>
      <w:t xml:space="preserve">- </w:t>
    </w:r>
    <w:r w:rsidR="00691F25" w:rsidRPr="00726191">
      <w:rPr>
        <w:rStyle w:val="a7"/>
        <w:sz w:val="20"/>
        <w:szCs w:val="20"/>
      </w:rPr>
      <w:fldChar w:fldCharType="begin"/>
    </w:r>
    <w:r w:rsidRPr="00726191">
      <w:rPr>
        <w:rStyle w:val="a7"/>
        <w:sz w:val="20"/>
        <w:szCs w:val="20"/>
      </w:rPr>
      <w:instrText xml:space="preserve"> PAGE </w:instrText>
    </w:r>
    <w:r w:rsidR="00691F25" w:rsidRPr="00726191">
      <w:rPr>
        <w:rStyle w:val="a7"/>
        <w:sz w:val="20"/>
        <w:szCs w:val="20"/>
      </w:rPr>
      <w:fldChar w:fldCharType="separate"/>
    </w:r>
    <w:r w:rsidR="00CB289C">
      <w:rPr>
        <w:rStyle w:val="a7"/>
        <w:noProof/>
        <w:sz w:val="20"/>
        <w:szCs w:val="20"/>
      </w:rPr>
      <w:t>2</w:t>
    </w:r>
    <w:r w:rsidR="00691F25" w:rsidRPr="00726191">
      <w:rPr>
        <w:rStyle w:val="a7"/>
        <w:sz w:val="20"/>
        <w:szCs w:val="20"/>
      </w:rPr>
      <w:fldChar w:fldCharType="end"/>
    </w:r>
    <w:r w:rsidRPr="00726191">
      <w:rPr>
        <w:rStyle w:val="a7"/>
        <w:sz w:val="20"/>
        <w:szCs w:val="20"/>
      </w:rPr>
      <w:t xml:space="preserve"> </w:t>
    </w:r>
    <w:r w:rsidRPr="00726191">
      <w:rPr>
        <w:rStyle w:val="a7"/>
        <w:rFonts w:hint="eastAsia"/>
        <w:sz w:val="20"/>
        <w:szCs w:val="20"/>
      </w:rPr>
      <w:t>-</w:t>
    </w:r>
    <w:r w:rsidRPr="00726191">
      <w:rPr>
        <w:rStyle w:val="a7"/>
        <w:sz w:val="20"/>
        <w:szCs w:val="20"/>
      </w:rPr>
      <w:br/>
    </w:r>
    <w:r w:rsidRPr="00CA7570">
      <w:rPr>
        <w:b/>
        <w:sz w:val="21"/>
        <w:szCs w:val="21"/>
      </w:rPr>
      <w:t xml:space="preserve">Document </w:t>
    </w:r>
    <w:r w:rsidRPr="00CA7570">
      <w:rPr>
        <w:rFonts w:hint="eastAsia"/>
        <w:b/>
        <w:sz w:val="21"/>
        <w:szCs w:val="21"/>
      </w:rPr>
      <w:t>No. 1</w:t>
    </w:r>
    <w:r w:rsidRPr="00CA7570">
      <w:rPr>
        <w:b/>
        <w:sz w:val="21"/>
        <w:szCs w:val="21"/>
      </w:rPr>
      <w:t>8</w:t>
    </w:r>
    <w:r w:rsidRPr="00CA7570">
      <w:rPr>
        <w:rFonts w:hint="eastAsia"/>
        <w:b/>
        <w:sz w:val="21"/>
        <w:szCs w:val="21"/>
      </w:rPr>
      <w:t>/XV</w:t>
    </w:r>
    <w:r w:rsidRPr="00CA7570">
      <w:rPr>
        <w:b/>
        <w:sz w:val="21"/>
        <w:szCs w:val="21"/>
      </w:rPr>
      <w:t>II</w:t>
    </w:r>
    <w:r w:rsidRPr="00CA7570">
      <w:rPr>
        <w:rFonts w:hint="eastAsia"/>
        <w:b/>
        <w:sz w:val="21"/>
        <w:szCs w:val="21"/>
      </w:rPr>
      <w:t>/</w:t>
    </w:r>
    <w:r w:rsidR="00FD6C30">
      <w:rPr>
        <w:b/>
        <w:sz w:val="21"/>
        <w:szCs w:val="21"/>
      </w:rPr>
      <w:t>01</w:t>
    </w:r>
    <w:r w:rsidR="00EB7546">
      <w:rPr>
        <w:b/>
        <w:sz w:val="21"/>
        <w:szCs w:val="21"/>
      </w:rPr>
      <w:t>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hyphenationZone w:val="425"/>
  <w:drawingGridHorizontalSpacing w:val="12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0A70BD"/>
    <w:rsid w:val="000A419E"/>
    <w:rsid w:val="000A70BD"/>
    <w:rsid w:val="0059362C"/>
    <w:rsid w:val="00645C01"/>
    <w:rsid w:val="00671DF3"/>
    <w:rsid w:val="00691F25"/>
    <w:rsid w:val="00695BBB"/>
    <w:rsid w:val="00786ADA"/>
    <w:rsid w:val="008B5ECC"/>
    <w:rsid w:val="009322D5"/>
    <w:rsid w:val="009A1CB0"/>
    <w:rsid w:val="00A528F1"/>
    <w:rsid w:val="00BD3D73"/>
    <w:rsid w:val="00C24F4B"/>
    <w:rsid w:val="00C7364B"/>
    <w:rsid w:val="00CA7570"/>
    <w:rsid w:val="00CB289C"/>
    <w:rsid w:val="00E52831"/>
    <w:rsid w:val="00EB7546"/>
    <w:rsid w:val="00F136CC"/>
    <w:rsid w:val="00F932F9"/>
    <w:rsid w:val="00FD6C30"/>
  </w:rsids>
  <m:mathPr>
    <m:mathFont m:val="Cambria Math"/>
    <m:brkBin m:val="before"/>
    <m:brkBinSub m:val="--"/>
    <m:smallFrac m:val="0"/>
    <m:dispDef/>
    <m:lMargin m:val="0"/>
    <m:rMargin m:val="0"/>
    <m:defJc m:val="centerGroup"/>
    <m:wrapIndent m:val="1440"/>
    <m:intLim m:val="subSup"/>
    <m:naryLim m:val="undOvr"/>
  </m:mathPr>
  <w:themeFontLang w:val="es-SV"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v:textbox inset="5.85pt,.7pt,5.85pt,.7pt"/>
    </o:shapedefaults>
    <o:shapelayout v:ext="edit">
      <o:idmap v:ext="edit" data="1"/>
    </o:shapelayout>
  </w:shapeDefaults>
  <w:decimalSymbol w:val="."/>
  <w:listSeparator w:val=","/>
  <w15:docId w15:val="{8D560163-D90B-4D85-91F9-C2886B69B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A70BD"/>
    <w:rPr>
      <w:rFonts w:ascii="Times New Roman" w:eastAsia="BatangChe" w:hAnsi="Times New Roman" w:cs="Times New Roman"/>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
    <w:name w:val="Head"/>
    <w:basedOn w:val="a"/>
    <w:rsid w:val="000A70BD"/>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0A70BD"/>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0A70BD"/>
  </w:style>
  <w:style w:type="paragraph" w:styleId="1">
    <w:name w:val="index 1"/>
    <w:basedOn w:val="a"/>
    <w:next w:val="a"/>
    <w:rsid w:val="00CA7570"/>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Table">
    <w:name w:val="Table_#"/>
    <w:basedOn w:val="a"/>
    <w:next w:val="a"/>
    <w:rsid w:val="00CA7570"/>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styleId="a3">
    <w:name w:val="header"/>
    <w:basedOn w:val="a"/>
    <w:link w:val="a4"/>
    <w:unhideWhenUsed/>
    <w:rsid w:val="00CA7570"/>
    <w:pPr>
      <w:tabs>
        <w:tab w:val="center" w:pos="4252"/>
        <w:tab w:val="right" w:pos="8504"/>
      </w:tabs>
      <w:snapToGrid w:val="0"/>
    </w:pPr>
  </w:style>
  <w:style w:type="character" w:customStyle="1" w:styleId="a4">
    <w:name w:val="ヘッダー (文字)"/>
    <w:basedOn w:val="a0"/>
    <w:link w:val="a3"/>
    <w:rsid w:val="00CA7570"/>
    <w:rPr>
      <w:rFonts w:ascii="Times New Roman" w:eastAsia="BatangChe" w:hAnsi="Times New Roman" w:cs="Times New Roman"/>
      <w:kern w:val="0"/>
      <w:sz w:val="24"/>
      <w:szCs w:val="24"/>
      <w:lang w:eastAsia="en-US"/>
    </w:rPr>
  </w:style>
  <w:style w:type="paragraph" w:styleId="a5">
    <w:name w:val="footer"/>
    <w:basedOn w:val="a"/>
    <w:link w:val="a6"/>
    <w:uiPriority w:val="99"/>
    <w:unhideWhenUsed/>
    <w:rsid w:val="00CA7570"/>
    <w:pPr>
      <w:tabs>
        <w:tab w:val="center" w:pos="4252"/>
        <w:tab w:val="right" w:pos="8504"/>
      </w:tabs>
      <w:snapToGrid w:val="0"/>
    </w:pPr>
  </w:style>
  <w:style w:type="character" w:customStyle="1" w:styleId="a6">
    <w:name w:val="フッター (文字)"/>
    <w:basedOn w:val="a0"/>
    <w:link w:val="a5"/>
    <w:uiPriority w:val="99"/>
    <w:rsid w:val="00CA7570"/>
    <w:rPr>
      <w:rFonts w:ascii="Times New Roman" w:eastAsia="BatangChe" w:hAnsi="Times New Roman" w:cs="Times New Roman"/>
      <w:kern w:val="0"/>
      <w:sz w:val="24"/>
      <w:szCs w:val="24"/>
      <w:lang w:eastAsia="en-US"/>
    </w:rPr>
  </w:style>
  <w:style w:type="character" w:styleId="a7">
    <w:name w:val="page number"/>
    <w:basedOn w:val="a0"/>
    <w:rsid w:val="00CA7570"/>
  </w:style>
  <w:style w:type="paragraph" w:styleId="a8">
    <w:name w:val="Balloon Text"/>
    <w:basedOn w:val="a"/>
    <w:link w:val="a9"/>
    <w:uiPriority w:val="99"/>
    <w:semiHidden/>
    <w:unhideWhenUsed/>
    <w:rsid w:val="00671DF3"/>
    <w:rPr>
      <w:rFonts w:ascii="Tahoma" w:hAnsi="Tahoma" w:cs="Tahoma"/>
      <w:sz w:val="16"/>
      <w:szCs w:val="16"/>
    </w:rPr>
  </w:style>
  <w:style w:type="character" w:customStyle="1" w:styleId="a9">
    <w:name w:val="吹き出し (文字)"/>
    <w:basedOn w:val="a0"/>
    <w:link w:val="a8"/>
    <w:uiPriority w:val="99"/>
    <w:semiHidden/>
    <w:rsid w:val="00671DF3"/>
    <w:rPr>
      <w:rFonts w:ascii="Tahoma" w:eastAsia="BatangChe" w:hAnsi="Tahoma" w:cs="Tahoma"/>
      <w:kern w:val="0"/>
      <w:sz w:val="16"/>
      <w:szCs w:val="16"/>
      <w:lang w:eastAsia="en-US"/>
    </w:rPr>
  </w:style>
  <w:style w:type="character" w:styleId="aa">
    <w:name w:val="Hyperlink"/>
    <w:basedOn w:val="a0"/>
    <w:uiPriority w:val="99"/>
    <w:unhideWhenUsed/>
    <w:rsid w:val="00645C01"/>
    <w:rPr>
      <w:color w:val="0563C1" w:themeColor="hyperlink"/>
      <w:u w:val="single"/>
    </w:rPr>
  </w:style>
  <w:style w:type="paragraph" w:styleId="ab">
    <w:name w:val="List Paragraph"/>
    <w:basedOn w:val="a"/>
    <w:uiPriority w:val="34"/>
    <w:qFormat/>
    <w:rsid w:val="00645C01"/>
    <w:pPr>
      <w:spacing w:after="160" w:line="259" w:lineRule="auto"/>
      <w:ind w:left="720"/>
      <w:contextualSpacing/>
    </w:pPr>
    <w:rPr>
      <w:rFonts w:asciiTheme="minorHAnsi" w:eastAsiaTheme="minorHAnsi" w:hAnsiTheme="minorHAnsi" w:cstheme="minorBidi"/>
      <w:sz w:val="22"/>
      <w:szCs w:val="22"/>
      <w:lang w:val="en-CA"/>
    </w:rPr>
  </w:style>
  <w:style w:type="character" w:styleId="ac">
    <w:name w:val="Strong"/>
    <w:basedOn w:val="a0"/>
    <w:uiPriority w:val="22"/>
    <w:qFormat/>
    <w:rsid w:val="008B5EC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1640957-2049-4356-B430-57A9CCFED9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628</Words>
  <Characters>3585</Characters>
  <Application>Microsoft Office Word</Application>
  <DocSecurity>0</DocSecurity>
  <Lines>29</Lines>
  <Paragraphs>8</Paragraphs>
  <ScaleCrop>false</ScaleCrop>
  <HeadingPairs>
    <vt:vector size="4" baseType="variant">
      <vt:variant>
        <vt:lpstr>Título</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4205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総務部 ＪＡＲＬ</dc:creator>
  <cp:lastModifiedBy>Yamamoto Ken</cp:lastModifiedBy>
  <cp:revision>5</cp:revision>
  <dcterms:created xsi:type="dcterms:W3CDTF">2018-07-31T17:36:00Z</dcterms:created>
  <dcterms:modified xsi:type="dcterms:W3CDTF">2018-08-09T07:21:00Z</dcterms:modified>
</cp:coreProperties>
</file>