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026"/>
        <w:gridCol w:w="6045"/>
        <w:gridCol w:w="1326"/>
      </w:tblGrid>
      <w:tr w:rsidR="006C05A8" w:rsidRPr="0005660E" w:rsidTr="0017248C">
        <w:trPr>
          <w:trHeight w:val="1276"/>
        </w:trPr>
        <w:tc>
          <w:tcPr>
            <w:tcW w:w="704" w:type="dxa"/>
          </w:tcPr>
          <w:p w:rsidR="0005660E" w:rsidRPr="0005660E" w:rsidRDefault="001E2C3B" w:rsidP="004A56D2">
            <w:pPr>
              <w:jc w:val="right"/>
              <w:rPr>
                <w:rFonts w:eastAsia="ＭＳ 明朝"/>
                <w:lang w:eastAsia="ja-JP"/>
              </w:rPr>
            </w:pPr>
            <w:r w:rsidRPr="006C05A8">
              <w:rPr>
                <w:rFonts w:eastAsia="ＭＳ 明朝"/>
                <w:noProof/>
                <w:lang w:val="en-NZ" w:eastAsia="en-NZ"/>
              </w:rPr>
              <w:drawing>
                <wp:inline distT="0" distB="0" distL="0" distR="0">
                  <wp:extent cx="504825" cy="1000125"/>
                  <wp:effectExtent l="0" t="0" r="9525" b="9525"/>
                  <wp:docPr id="1" name="図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4825" cy="1000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93" w:type="dxa"/>
          </w:tcPr>
          <w:p w:rsidR="004A56D2" w:rsidRDefault="004A56D2" w:rsidP="004A56D2">
            <w:pPr>
              <w:jc w:val="center"/>
              <w:rPr>
                <w:b/>
                <w:position w:val="6"/>
                <w:sz w:val="30"/>
              </w:rPr>
            </w:pPr>
            <w:r>
              <w:rPr>
                <w:b/>
                <w:position w:val="6"/>
                <w:sz w:val="30"/>
              </w:rPr>
              <w:t xml:space="preserve">INTERNATIONAL </w:t>
            </w:r>
            <w:r>
              <w:rPr>
                <w:rFonts w:hint="eastAsia"/>
                <w:b/>
                <w:position w:val="6"/>
                <w:sz w:val="30"/>
              </w:rPr>
              <w:t>AMATEUR RADIO</w:t>
            </w:r>
            <w:r>
              <w:rPr>
                <w:b/>
                <w:position w:val="6"/>
                <w:sz w:val="30"/>
              </w:rPr>
              <w:t xml:space="preserve"> </w:t>
            </w:r>
            <w:smartTag w:uri="urn:schemas-microsoft-com:office:smarttags" w:element="place">
              <w:r>
                <w:rPr>
                  <w:b/>
                  <w:position w:val="6"/>
                  <w:sz w:val="30"/>
                </w:rPr>
                <w:t>UNION</w:t>
              </w:r>
            </w:smartTag>
          </w:p>
          <w:p w:rsidR="004A56D2" w:rsidRDefault="004A56D2" w:rsidP="004A56D2">
            <w:pPr>
              <w:jc w:val="center"/>
              <w:rPr>
                <w:b/>
                <w:smallCaps/>
                <w:sz w:val="30"/>
              </w:rPr>
            </w:pPr>
            <w:r>
              <w:rPr>
                <w:rFonts w:hint="eastAsia"/>
                <w:b/>
                <w:position w:val="6"/>
                <w:sz w:val="30"/>
              </w:rPr>
              <w:t>REGION 3</w:t>
            </w:r>
          </w:p>
          <w:p w:rsidR="0005660E" w:rsidRPr="009C09CD" w:rsidRDefault="009C09CD" w:rsidP="002F27E1">
            <w:pPr>
              <w:jc w:val="center"/>
              <w:rPr>
                <w:rFonts w:eastAsia="ＭＳ 明朝"/>
                <w:b/>
                <w:sz w:val="30"/>
                <w:szCs w:val="30"/>
                <w:lang w:eastAsia="ja-JP"/>
              </w:rPr>
            </w:pP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S</w:t>
            </w:r>
            <w:r w:rsidR="002F27E1">
              <w:rPr>
                <w:rFonts w:eastAsia="ＭＳ 明朝"/>
                <w:b/>
                <w:sz w:val="30"/>
                <w:szCs w:val="30"/>
                <w:lang w:eastAsia="ja-JP"/>
              </w:rPr>
              <w:t>EVEN</w:t>
            </w:r>
            <w:r w:rsidRPr="009C09CD">
              <w:rPr>
                <w:rFonts w:eastAsia="ＭＳ 明朝"/>
                <w:b/>
                <w:sz w:val="30"/>
                <w:szCs w:val="30"/>
                <w:lang w:eastAsia="ja-JP"/>
              </w:rPr>
              <w:t>TEENTH  REGIONAL  CONFERENCE</w:t>
            </w:r>
          </w:p>
        </w:tc>
        <w:tc>
          <w:tcPr>
            <w:tcW w:w="818" w:type="dxa"/>
          </w:tcPr>
          <w:p w:rsidR="0005660E" w:rsidRPr="0005660E" w:rsidRDefault="001E2C3B" w:rsidP="004A56D2">
            <w:pPr>
              <w:jc w:val="right"/>
              <w:rPr>
                <w:rFonts w:eastAsia="ＭＳ 明朝"/>
                <w:lang w:eastAsia="ja-JP"/>
              </w:rPr>
            </w:pPr>
            <w:r w:rsidRPr="006C05A8">
              <w:rPr>
                <w:rFonts w:eastAsia="ＭＳ 明朝"/>
                <w:noProof/>
                <w:lang w:val="en-NZ" w:eastAsia="en-NZ"/>
              </w:rPr>
              <w:drawing>
                <wp:inline distT="0" distB="0" distL="0" distR="0">
                  <wp:extent cx="695325" cy="1085850"/>
                  <wp:effectExtent l="0" t="0" r="9525" b="0"/>
                  <wp:docPr id="2" name="図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図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5325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A56D2" w:rsidRDefault="009C09CD" w:rsidP="004A56D2">
      <w:pPr>
        <w:pStyle w:val="Head"/>
        <w:pBdr>
          <w:bottom w:val="single" w:sz="12" w:space="1" w:color="auto"/>
        </w:pBdr>
        <w:tabs>
          <w:tab w:val="clear" w:pos="6663"/>
          <w:tab w:val="right" w:pos="8647"/>
        </w:tabs>
        <w:ind w:leftChars="50" w:left="120" w:rightChars="-70" w:right="-168"/>
        <w:rPr>
          <w:sz w:val="21"/>
          <w:lang w:val="en-US"/>
        </w:rPr>
      </w:pPr>
      <w:r>
        <w:rPr>
          <w:sz w:val="21"/>
          <w:lang w:val="en-US"/>
        </w:rPr>
        <w:t>1</w:t>
      </w:r>
      <w:r w:rsidR="002F27E1">
        <w:rPr>
          <w:sz w:val="21"/>
          <w:lang w:val="en-US"/>
        </w:rPr>
        <w:t>0</w:t>
      </w:r>
      <w:r w:rsidR="004A56D2">
        <w:rPr>
          <w:rFonts w:hint="eastAsia"/>
          <w:sz w:val="21"/>
          <w:lang w:val="en-US"/>
        </w:rPr>
        <w:t xml:space="preserve"> </w:t>
      </w:r>
      <w:r w:rsidR="004A56D2">
        <w:rPr>
          <w:sz w:val="21"/>
          <w:lang w:val="en-US"/>
        </w:rPr>
        <w:t>–</w:t>
      </w:r>
      <w:r w:rsidR="004A56D2">
        <w:rPr>
          <w:rFonts w:hint="eastAsia"/>
          <w:sz w:val="21"/>
          <w:lang w:val="en-US"/>
        </w:rPr>
        <w:t xml:space="preserve"> </w:t>
      </w:r>
      <w:r>
        <w:rPr>
          <w:sz w:val="21"/>
          <w:lang w:val="en-US"/>
        </w:rPr>
        <w:t>1</w:t>
      </w:r>
      <w:r w:rsidR="002F27E1">
        <w:rPr>
          <w:sz w:val="21"/>
          <w:lang w:val="en-US"/>
        </w:rPr>
        <w:t>4</w:t>
      </w:r>
      <w:r w:rsidR="004A56D2">
        <w:rPr>
          <w:rFonts w:hint="eastAsia"/>
          <w:sz w:val="21"/>
          <w:lang w:val="en-US"/>
        </w:rPr>
        <w:t xml:space="preserve"> </w:t>
      </w:r>
      <w:r w:rsidR="002F27E1">
        <w:rPr>
          <w:sz w:val="21"/>
          <w:lang w:val="en-US"/>
        </w:rPr>
        <w:t>Septem</w:t>
      </w:r>
      <w:r w:rsidR="004A56D2">
        <w:rPr>
          <w:rFonts w:hint="eastAsia"/>
          <w:sz w:val="21"/>
          <w:lang w:val="en-US"/>
        </w:rPr>
        <w:t>ber 20</w:t>
      </w:r>
      <w:r w:rsidR="002F418E">
        <w:rPr>
          <w:rFonts w:hint="eastAsia"/>
          <w:sz w:val="21"/>
          <w:lang w:val="en-US"/>
        </w:rPr>
        <w:t>1</w:t>
      </w:r>
      <w:r w:rsidR="002F27E1">
        <w:rPr>
          <w:sz w:val="21"/>
          <w:lang w:val="en-US"/>
        </w:rPr>
        <w:t>8</w:t>
      </w:r>
      <w:r w:rsidR="004A56D2">
        <w:rPr>
          <w:rFonts w:hint="eastAsia"/>
          <w:sz w:val="21"/>
          <w:lang w:val="en-US"/>
        </w:rPr>
        <w:tab/>
      </w:r>
      <w:r w:rsidR="002F27E1">
        <w:rPr>
          <w:sz w:val="21"/>
          <w:lang w:val="en-US"/>
        </w:rPr>
        <w:t>Seoul, Korea</w:t>
      </w:r>
    </w:p>
    <w:p w:rsidR="004A56D2" w:rsidRDefault="004A56D2" w:rsidP="004A56D2">
      <w:pPr>
        <w:pStyle w:val="Data"/>
        <w:rPr>
          <w:sz w:val="20"/>
          <w:lang w:val="en-US"/>
        </w:rPr>
      </w:pPr>
    </w:p>
    <w:p w:rsidR="004A56D2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lang w:val="en-US"/>
        </w:rPr>
      </w:pPr>
      <w:r>
        <w:rPr>
          <w:b/>
          <w:lang w:val="en-US"/>
        </w:rPr>
        <w:t xml:space="preserve">Document </w:t>
      </w:r>
      <w:r>
        <w:rPr>
          <w:rFonts w:hint="eastAsia"/>
          <w:b/>
          <w:lang w:val="en-US"/>
        </w:rPr>
        <w:t xml:space="preserve">No. </w:t>
      </w:r>
      <w:r w:rsidR="002F27E1">
        <w:rPr>
          <w:b/>
          <w:lang w:val="en-US"/>
        </w:rPr>
        <w:t>18</w:t>
      </w:r>
      <w:r>
        <w:rPr>
          <w:rFonts w:hint="eastAsia"/>
          <w:b/>
          <w:lang w:val="en-US"/>
        </w:rPr>
        <w:t>/XV</w:t>
      </w:r>
      <w:r w:rsidR="002F27E1">
        <w:rPr>
          <w:b/>
          <w:lang w:val="en-US"/>
        </w:rPr>
        <w:t>I</w:t>
      </w:r>
      <w:r w:rsidR="009C09CD">
        <w:rPr>
          <w:b/>
          <w:lang w:val="en-US"/>
        </w:rPr>
        <w:t>I</w:t>
      </w:r>
      <w:r>
        <w:rPr>
          <w:rFonts w:hint="eastAsia"/>
          <w:b/>
          <w:lang w:val="en-US"/>
        </w:rPr>
        <w:t>/0</w:t>
      </w:r>
      <w:r w:rsidR="00040038">
        <w:rPr>
          <w:b/>
          <w:lang w:val="en-US"/>
        </w:rPr>
        <w:t>27</w:t>
      </w:r>
      <w:bookmarkStart w:id="0" w:name="_GoBack"/>
      <w:bookmarkEnd w:id="0"/>
    </w:p>
    <w:p w:rsidR="004A56D2" w:rsidRPr="00D7187E" w:rsidRDefault="004A56D2" w:rsidP="004A56D2">
      <w:pPr>
        <w:pStyle w:val="Head"/>
        <w:tabs>
          <w:tab w:val="clear" w:pos="6663"/>
        </w:tabs>
        <w:wordWrap w:val="0"/>
        <w:ind w:rightChars="-70" w:right="-168"/>
        <w:jc w:val="right"/>
        <w:rPr>
          <w:b/>
          <w:lang w:val="en-US"/>
        </w:rPr>
      </w:pPr>
      <w:r w:rsidRPr="00D7187E">
        <w:rPr>
          <w:rFonts w:hint="eastAsia"/>
          <w:b/>
          <w:lang w:val="en-US"/>
        </w:rPr>
        <w:t xml:space="preserve">Agenda Item: </w:t>
      </w:r>
      <w:r w:rsidR="00040143">
        <w:rPr>
          <w:b/>
          <w:lang w:val="en-US"/>
        </w:rPr>
        <w:t>11.11</w:t>
      </w:r>
    </w:p>
    <w:p w:rsidR="004A56D2" w:rsidRDefault="004A56D2" w:rsidP="004A56D2">
      <w:pPr>
        <w:pStyle w:val="Subject"/>
        <w:tabs>
          <w:tab w:val="clear" w:pos="1134"/>
        </w:tabs>
        <w:ind w:left="0" w:firstLine="0"/>
        <w:rPr>
          <w:lang w:val="en-US"/>
        </w:rPr>
      </w:pPr>
      <w:bookmarkStart w:id="1" w:name="recibido"/>
      <w:bookmarkEnd w:id="1"/>
    </w:p>
    <w:p w:rsidR="004A56D2" w:rsidRDefault="00F11BDC" w:rsidP="004A56D2">
      <w:pPr>
        <w:pStyle w:val="10"/>
        <w:tabs>
          <w:tab w:val="clear" w:pos="794"/>
          <w:tab w:val="clear" w:pos="1191"/>
          <w:tab w:val="clear" w:pos="1588"/>
          <w:tab w:val="clear" w:pos="1985"/>
        </w:tabs>
        <w:jc w:val="center"/>
        <w:rPr>
          <w:b/>
          <w:bCs/>
          <w:lang w:val="en-US"/>
        </w:rPr>
      </w:pPr>
      <w:r>
        <w:rPr>
          <w:b/>
          <w:bCs/>
          <w:lang w:val="en-US"/>
        </w:rPr>
        <w:t>The 60m Band in New Zealand</w:t>
      </w:r>
    </w:p>
    <w:p w:rsidR="004A56D2" w:rsidRDefault="00F11BDC" w:rsidP="00F11BDC">
      <w:pPr>
        <w:jc w:val="center"/>
      </w:pPr>
      <w:r>
        <w:t>A paper from the New Zealand Association of Radio Transmitters Incorporated (NZART)</w:t>
      </w:r>
    </w:p>
    <w:p w:rsidR="00F11BDC" w:rsidRPr="00F11BDC" w:rsidRDefault="00F11BDC" w:rsidP="00F11BDC">
      <w:pPr>
        <w:jc w:val="center"/>
        <w:rPr>
          <w:i/>
        </w:rPr>
      </w:pPr>
      <w:r w:rsidRPr="00F11BDC">
        <w:rPr>
          <w:i/>
        </w:rPr>
        <w:t>M Sullivan (ZL</w:t>
      </w:r>
      <w:r>
        <w:rPr>
          <w:i/>
        </w:rPr>
        <w:t>3AB</w:t>
      </w:r>
      <w:r w:rsidRPr="00F11BDC">
        <w:rPr>
          <w:i/>
        </w:rPr>
        <w:t>) and P Holliday (Z</w:t>
      </w:r>
      <w:r>
        <w:rPr>
          <w:i/>
        </w:rPr>
        <w:t>L3PAH</w:t>
      </w:r>
      <w:r w:rsidRPr="00F11BDC">
        <w:rPr>
          <w:i/>
        </w:rPr>
        <w:t>)</w:t>
      </w:r>
    </w:p>
    <w:p w:rsidR="00F11BDC" w:rsidRDefault="00F11BDC" w:rsidP="00F11BDC">
      <w:pPr>
        <w:jc w:val="center"/>
      </w:pPr>
    </w:p>
    <w:p w:rsidR="00F11BDC" w:rsidRDefault="00F11BDC" w:rsidP="00D21EE1">
      <w:pPr>
        <w:spacing w:line="288" w:lineRule="atLeast"/>
        <w:rPr>
          <w:rFonts w:eastAsia="Times New Roman"/>
          <w:iCs/>
          <w:lang w:val="en-GB"/>
        </w:rPr>
      </w:pPr>
      <w:r w:rsidRPr="00F11BDC">
        <w:rPr>
          <w:rFonts w:eastAsia="Times New Roman"/>
          <w:color w:val="000000"/>
          <w:lang w:eastAsia="en-NZ"/>
        </w:rPr>
        <w:t xml:space="preserve">Since 2002 </w:t>
      </w:r>
      <w:r>
        <w:rPr>
          <w:rFonts w:eastAsia="Times New Roman"/>
          <w:color w:val="000000"/>
          <w:lang w:eastAsia="en-NZ"/>
        </w:rPr>
        <w:t xml:space="preserve">worldwide </w:t>
      </w:r>
      <w:r w:rsidRPr="00F11BDC">
        <w:rPr>
          <w:rFonts w:eastAsia="Times New Roman"/>
          <w:color w:val="000000"/>
          <w:lang w:eastAsia="en-NZ"/>
        </w:rPr>
        <w:t>Amateur access to 60m has been piecemeal.</w:t>
      </w:r>
      <w:r w:rsidRPr="0012360B">
        <w:rPr>
          <w:rFonts w:eastAsia="Times New Roman"/>
          <w:color w:val="000000"/>
          <w:lang w:eastAsia="en-NZ"/>
        </w:rPr>
        <w:t xml:space="preserve"> </w:t>
      </w:r>
      <w:r w:rsidR="00D21EE1" w:rsidRPr="00D21EE1">
        <w:rPr>
          <w:rFonts w:eastAsia="Times New Roman"/>
          <w:iCs/>
          <w:lang w:val="en-GB"/>
        </w:rPr>
        <w:t>This changed at WRC-15 when an international secondary allocation, with strict power conditions, was granted to Amateurs for the frequency range 5351.5 – 5366.5 kHz.</w:t>
      </w:r>
    </w:p>
    <w:p w:rsidR="00D21EE1" w:rsidRPr="00D21EE1" w:rsidRDefault="00D21EE1" w:rsidP="00D21EE1">
      <w:pPr>
        <w:spacing w:line="288" w:lineRule="atLeast"/>
        <w:rPr>
          <w:rFonts w:eastAsia="Times New Roman"/>
          <w:lang w:eastAsia="en-NZ"/>
        </w:rPr>
      </w:pPr>
    </w:p>
    <w:p w:rsidR="00F11BDC" w:rsidRPr="0012360B" w:rsidRDefault="00F11BDC" w:rsidP="00F11BDC">
      <w:pPr>
        <w:spacing w:line="288" w:lineRule="atLeast"/>
        <w:rPr>
          <w:rFonts w:eastAsia="Times New Roman"/>
          <w:color w:val="000000"/>
          <w:lang w:eastAsia="en-NZ"/>
        </w:rPr>
      </w:pPr>
      <w:r w:rsidRPr="00F11BDC">
        <w:rPr>
          <w:rFonts w:eastAsia="Times New Roman"/>
          <w:color w:val="000000"/>
          <w:lang w:eastAsia="en-NZ"/>
        </w:rPr>
        <w:t>Although t</w:t>
      </w:r>
      <w:r w:rsidRPr="0012360B">
        <w:rPr>
          <w:rFonts w:eastAsia="Times New Roman"/>
          <w:color w:val="000000"/>
          <w:lang w:eastAsia="en-NZ"/>
        </w:rPr>
        <w:t>he WRC allocation came into effect from 1</w:t>
      </w:r>
      <w:r w:rsidR="004826F5" w:rsidRPr="004826F5">
        <w:rPr>
          <w:rFonts w:eastAsia="Times New Roman"/>
          <w:color w:val="000000"/>
          <w:vertAlign w:val="superscript"/>
          <w:lang w:eastAsia="en-NZ"/>
        </w:rPr>
        <w:t>st</w:t>
      </w:r>
      <w:r w:rsidR="004826F5">
        <w:rPr>
          <w:rFonts w:eastAsia="Times New Roman"/>
          <w:color w:val="000000"/>
          <w:lang w:eastAsia="en-NZ"/>
        </w:rPr>
        <w:t xml:space="preserve"> </w:t>
      </w:r>
      <w:r w:rsidRPr="0012360B">
        <w:rPr>
          <w:rFonts w:eastAsia="Times New Roman"/>
          <w:color w:val="000000"/>
          <w:lang w:eastAsia="en-NZ"/>
        </w:rPr>
        <w:t xml:space="preserve">January 2017, it </w:t>
      </w:r>
      <w:r w:rsidRPr="00F11BDC">
        <w:rPr>
          <w:rFonts w:eastAsia="Times New Roman"/>
          <w:color w:val="000000"/>
          <w:lang w:eastAsia="en-NZ"/>
        </w:rPr>
        <w:t xml:space="preserve">took until </w:t>
      </w:r>
      <w:r w:rsidRPr="0012360B">
        <w:rPr>
          <w:rFonts w:eastAsia="Times New Roman"/>
          <w:color w:val="000000"/>
          <w:lang w:eastAsia="en-NZ"/>
        </w:rPr>
        <w:t xml:space="preserve">January 2018 </w:t>
      </w:r>
      <w:r w:rsidRPr="00F11BDC">
        <w:rPr>
          <w:rFonts w:eastAsia="Times New Roman"/>
          <w:color w:val="000000"/>
          <w:lang w:eastAsia="en-NZ"/>
        </w:rPr>
        <w:t>to secure two 60m channels</w:t>
      </w:r>
      <w:r w:rsidRPr="0012360B">
        <w:rPr>
          <w:rFonts w:eastAsia="Times New Roman"/>
          <w:color w:val="000000"/>
          <w:lang w:eastAsia="en-NZ"/>
        </w:rPr>
        <w:t xml:space="preserve"> for </w:t>
      </w:r>
      <w:r w:rsidRPr="00F11BDC">
        <w:rPr>
          <w:rFonts w:eastAsia="Times New Roman"/>
          <w:color w:val="000000"/>
          <w:lang w:eastAsia="en-NZ"/>
        </w:rPr>
        <w:t xml:space="preserve">our operators. The NZ Defence Force (NZDF) had </w:t>
      </w:r>
      <w:r>
        <w:rPr>
          <w:rFonts w:eastAsia="Times New Roman"/>
          <w:color w:val="000000"/>
          <w:lang w:eastAsia="en-NZ"/>
        </w:rPr>
        <w:t xml:space="preserve">existing </w:t>
      </w:r>
      <w:r w:rsidRPr="00F11BDC">
        <w:rPr>
          <w:rFonts w:eastAsia="Times New Roman"/>
          <w:color w:val="000000"/>
          <w:lang w:eastAsia="en-NZ"/>
        </w:rPr>
        <w:t xml:space="preserve">licenses for frequencies in the WRC allocation. Negotiations between </w:t>
      </w:r>
      <w:r w:rsidRPr="0012360B">
        <w:rPr>
          <w:rFonts w:eastAsia="Times New Roman"/>
          <w:color w:val="000000"/>
          <w:lang w:eastAsia="en-NZ"/>
        </w:rPr>
        <w:t>NZART</w:t>
      </w:r>
      <w:r w:rsidRPr="00F11BDC">
        <w:rPr>
          <w:rFonts w:eastAsia="Times New Roman"/>
          <w:color w:val="000000"/>
          <w:lang w:eastAsia="en-NZ"/>
        </w:rPr>
        <w:t xml:space="preserve">, </w:t>
      </w:r>
      <w:r w:rsidRPr="0012360B">
        <w:rPr>
          <w:rFonts w:eastAsia="Times New Roman"/>
          <w:color w:val="000000"/>
          <w:lang w:eastAsia="en-NZ"/>
        </w:rPr>
        <w:t>the government regulator (RSM) and NZDF resulted in</w:t>
      </w:r>
      <w:r w:rsidRPr="00F11BDC">
        <w:rPr>
          <w:rFonts w:eastAsia="Times New Roman"/>
          <w:color w:val="000000"/>
          <w:lang w:eastAsia="en-NZ"/>
        </w:rPr>
        <w:t xml:space="preserve"> the allocation of two </w:t>
      </w:r>
      <w:r w:rsidRPr="0012360B">
        <w:rPr>
          <w:rFonts w:eastAsia="Times New Roman"/>
          <w:color w:val="000000"/>
          <w:lang w:eastAsia="en-NZ"/>
        </w:rPr>
        <w:t>3 kHz channels on</w:t>
      </w:r>
      <w:r w:rsidRPr="00F11BDC">
        <w:rPr>
          <w:rFonts w:eastAsia="Times New Roman"/>
          <w:color w:val="000000"/>
          <w:lang w:eastAsia="en-NZ"/>
        </w:rPr>
        <w:t xml:space="preserve"> a trial basis until 24</w:t>
      </w:r>
      <w:r w:rsidRPr="00F11BDC">
        <w:rPr>
          <w:rFonts w:eastAsia="Times New Roman"/>
          <w:color w:val="000000"/>
          <w:vertAlign w:val="superscript"/>
          <w:lang w:eastAsia="en-NZ"/>
        </w:rPr>
        <w:t>th</w:t>
      </w:r>
      <w:r w:rsidRPr="00F11BDC">
        <w:rPr>
          <w:rFonts w:eastAsia="Times New Roman"/>
          <w:color w:val="000000"/>
          <w:lang w:eastAsia="en-NZ"/>
        </w:rPr>
        <w:t xml:space="preserve"> January 2019. </w:t>
      </w:r>
      <w:r w:rsidRPr="0012360B">
        <w:rPr>
          <w:rFonts w:eastAsia="Times New Roman"/>
          <w:color w:val="000000"/>
          <w:lang w:eastAsia="en-NZ"/>
        </w:rPr>
        <w:t xml:space="preserve"> </w:t>
      </w:r>
      <w:r w:rsidRPr="00F11BDC">
        <w:rPr>
          <w:rFonts w:eastAsia="Times New Roman"/>
          <w:color w:val="000000"/>
          <w:lang w:eastAsia="en-NZ"/>
        </w:rPr>
        <w:t xml:space="preserve">The </w:t>
      </w:r>
      <w:r w:rsidRPr="0012360B">
        <w:rPr>
          <w:rFonts w:eastAsia="Times New Roman"/>
          <w:color w:val="000000"/>
          <w:lang w:eastAsia="en-NZ"/>
        </w:rPr>
        <w:t xml:space="preserve">frequencies of 5353.0 - 5356.0 kHz </w:t>
      </w:r>
      <w:r w:rsidRPr="00F11BDC">
        <w:rPr>
          <w:rFonts w:eastAsia="Times New Roman"/>
          <w:color w:val="000000"/>
          <w:lang w:eastAsia="en-NZ"/>
        </w:rPr>
        <w:t xml:space="preserve">(Channel 1) </w:t>
      </w:r>
      <w:r w:rsidRPr="0012360B">
        <w:rPr>
          <w:rFonts w:eastAsia="Times New Roman"/>
          <w:color w:val="000000"/>
          <w:lang w:eastAsia="en-NZ"/>
        </w:rPr>
        <w:t>and 5362.0 – 5365.0 kHz</w:t>
      </w:r>
      <w:r w:rsidRPr="00F11BDC">
        <w:rPr>
          <w:rFonts w:eastAsia="Times New Roman"/>
          <w:color w:val="000000"/>
          <w:lang w:eastAsia="en-NZ"/>
        </w:rPr>
        <w:t xml:space="preserve"> (Channel 2)</w:t>
      </w:r>
      <w:r w:rsidRPr="0012360B">
        <w:rPr>
          <w:rFonts w:eastAsia="Times New Roman"/>
          <w:color w:val="000000"/>
          <w:lang w:eastAsia="en-NZ"/>
        </w:rPr>
        <w:t xml:space="preserve"> </w:t>
      </w:r>
      <w:r>
        <w:rPr>
          <w:rFonts w:eastAsia="Times New Roman"/>
          <w:color w:val="000000"/>
          <w:lang w:eastAsia="en-NZ"/>
        </w:rPr>
        <w:t xml:space="preserve">were made available </w:t>
      </w:r>
      <w:r w:rsidRPr="0012360B">
        <w:rPr>
          <w:rFonts w:eastAsia="Times New Roman"/>
          <w:color w:val="000000"/>
          <w:lang w:eastAsia="en-NZ"/>
        </w:rPr>
        <w:t xml:space="preserve">with a maximum </w:t>
      </w:r>
      <w:r w:rsidRPr="00F11BDC">
        <w:rPr>
          <w:rFonts w:eastAsia="Times New Roman"/>
          <w:color w:val="000000"/>
          <w:lang w:eastAsia="en-NZ"/>
        </w:rPr>
        <w:t>output power</w:t>
      </w:r>
      <w:r w:rsidRPr="0012360B">
        <w:rPr>
          <w:rFonts w:eastAsia="Times New Roman"/>
          <w:color w:val="000000"/>
          <w:lang w:eastAsia="en-NZ"/>
        </w:rPr>
        <w:t xml:space="preserve"> of 10 dBW e.i.r.p. </w:t>
      </w:r>
    </w:p>
    <w:p w:rsidR="00F11BDC" w:rsidRPr="0012360B" w:rsidRDefault="00F11BDC" w:rsidP="00F11BDC">
      <w:pPr>
        <w:rPr>
          <w:rFonts w:eastAsia="Times New Roman"/>
          <w:color w:val="000000"/>
          <w:lang w:eastAsia="en-NZ"/>
        </w:rPr>
      </w:pPr>
      <w:r w:rsidRPr="0012360B">
        <w:rPr>
          <w:rFonts w:eastAsia="Times New Roman"/>
          <w:color w:val="000000"/>
          <w:lang w:eastAsia="en-NZ"/>
        </w:rPr>
        <w:br/>
      </w:r>
      <w:r w:rsidR="00D21EE1" w:rsidRPr="00D21EE1">
        <w:rPr>
          <w:rFonts w:eastAsia="Times New Roman"/>
          <w:iCs/>
          <w:lang w:val="en-GB"/>
        </w:rPr>
        <w:t xml:space="preserve">The agreed plan for Channel 1 is for SSB only so that any (potentially interfering) amateur transmission on this channel </w:t>
      </w:r>
      <w:r w:rsidR="00D21EE1">
        <w:rPr>
          <w:rFonts w:eastAsia="Times New Roman"/>
          <w:iCs/>
          <w:lang w:val="en-GB"/>
        </w:rPr>
        <w:t>would more easily be</w:t>
      </w:r>
      <w:r w:rsidR="00D21EE1" w:rsidRPr="00D21EE1">
        <w:rPr>
          <w:rFonts w:eastAsia="Times New Roman"/>
          <w:iCs/>
          <w:lang w:val="en-GB"/>
        </w:rPr>
        <w:t xml:space="preserve"> identified by the primary user.</w:t>
      </w:r>
      <w:r w:rsidRPr="00D21EE1">
        <w:rPr>
          <w:rFonts w:eastAsia="Times New Roman"/>
          <w:color w:val="000000"/>
          <w:lang w:eastAsia="en-NZ"/>
        </w:rPr>
        <w:t xml:space="preserve"> </w:t>
      </w:r>
      <w:r w:rsidRPr="00F11BDC">
        <w:rPr>
          <w:rFonts w:eastAsia="Times New Roman"/>
          <w:color w:val="000000"/>
          <w:lang w:eastAsia="en-NZ"/>
        </w:rPr>
        <w:t xml:space="preserve">For Channel 2, </w:t>
      </w:r>
      <w:r w:rsidRPr="0012360B">
        <w:rPr>
          <w:rFonts w:eastAsia="Times New Roman"/>
          <w:color w:val="000000"/>
          <w:lang w:eastAsia="en-NZ"/>
        </w:rPr>
        <w:t>either SSB or CW for the lower part</w:t>
      </w:r>
      <w:r w:rsidRPr="00F11BDC">
        <w:rPr>
          <w:rFonts w:eastAsia="Times New Roman"/>
          <w:color w:val="000000"/>
          <w:lang w:eastAsia="en-NZ"/>
        </w:rPr>
        <w:t>,</w:t>
      </w:r>
      <w:r w:rsidRPr="0012360B">
        <w:rPr>
          <w:rFonts w:eastAsia="Times New Roman"/>
          <w:color w:val="000000"/>
          <w:lang w:eastAsia="en-NZ"/>
        </w:rPr>
        <w:t xml:space="preserve"> and digital</w:t>
      </w:r>
      <w:r w:rsidRPr="00F11BDC">
        <w:rPr>
          <w:rFonts w:eastAsia="Times New Roman"/>
          <w:color w:val="000000"/>
          <w:lang w:eastAsia="en-NZ"/>
        </w:rPr>
        <w:t xml:space="preserve"> </w:t>
      </w:r>
      <w:r w:rsidRPr="0012360B">
        <w:rPr>
          <w:rFonts w:eastAsia="Times New Roman"/>
          <w:color w:val="000000"/>
          <w:lang w:eastAsia="en-NZ"/>
        </w:rPr>
        <w:t>modes of less than 100 Hz (FT8, PSK31, JT9) for the upper part</w:t>
      </w:r>
      <w:r w:rsidRPr="00F11BDC">
        <w:rPr>
          <w:rFonts w:eastAsia="Times New Roman"/>
          <w:color w:val="000000"/>
          <w:lang w:eastAsia="en-NZ"/>
        </w:rPr>
        <w:t>.</w:t>
      </w:r>
      <w:r w:rsidRPr="0012360B">
        <w:rPr>
          <w:rFonts w:eastAsia="Times New Roman"/>
          <w:color w:val="000000"/>
          <w:lang w:eastAsia="en-NZ"/>
        </w:rPr>
        <w:t xml:space="preserve">  As </w:t>
      </w:r>
      <w:r w:rsidRPr="00F11BDC">
        <w:rPr>
          <w:rFonts w:eastAsia="Times New Roman"/>
          <w:color w:val="000000"/>
          <w:lang w:eastAsia="en-NZ"/>
        </w:rPr>
        <w:t>these channels</w:t>
      </w:r>
      <w:r w:rsidRPr="0012360B">
        <w:rPr>
          <w:rFonts w:eastAsia="Times New Roman"/>
          <w:color w:val="000000"/>
          <w:lang w:eastAsia="en-NZ"/>
        </w:rPr>
        <w:t xml:space="preserve"> fall outside the normal gazetted Amateur band, NZART obtained a </w:t>
      </w:r>
      <w:r w:rsidRPr="00F11BDC">
        <w:rPr>
          <w:rFonts w:eastAsia="Times New Roman"/>
          <w:color w:val="000000"/>
          <w:lang w:eastAsia="en-NZ"/>
        </w:rPr>
        <w:t>license</w:t>
      </w:r>
      <w:r w:rsidRPr="0012360B">
        <w:rPr>
          <w:rFonts w:eastAsia="Times New Roman"/>
          <w:color w:val="000000"/>
          <w:lang w:eastAsia="en-NZ"/>
        </w:rPr>
        <w:t xml:space="preserve"> for </w:t>
      </w:r>
      <w:r>
        <w:rPr>
          <w:rFonts w:eastAsia="Times New Roman"/>
          <w:color w:val="000000"/>
          <w:lang w:eastAsia="en-NZ"/>
        </w:rPr>
        <w:t>them</w:t>
      </w:r>
      <w:r w:rsidRPr="0012360B">
        <w:rPr>
          <w:rFonts w:eastAsia="Times New Roman"/>
          <w:color w:val="000000"/>
          <w:lang w:eastAsia="en-NZ"/>
        </w:rPr>
        <w:t xml:space="preserve"> and </w:t>
      </w:r>
      <w:r w:rsidRPr="00F11BDC">
        <w:rPr>
          <w:rFonts w:eastAsia="Times New Roman"/>
          <w:color w:val="000000"/>
          <w:lang w:eastAsia="en-NZ"/>
        </w:rPr>
        <w:t>operators</w:t>
      </w:r>
      <w:r w:rsidRPr="0012360B">
        <w:rPr>
          <w:rFonts w:eastAsia="Times New Roman"/>
          <w:color w:val="000000"/>
          <w:lang w:eastAsia="en-NZ"/>
        </w:rPr>
        <w:t xml:space="preserve"> </w:t>
      </w:r>
      <w:r w:rsidRPr="00F11BDC">
        <w:rPr>
          <w:rFonts w:eastAsia="Times New Roman"/>
          <w:color w:val="000000"/>
          <w:lang w:eastAsia="en-NZ"/>
        </w:rPr>
        <w:t xml:space="preserve">wishing to use them must </w:t>
      </w:r>
      <w:r>
        <w:rPr>
          <w:rFonts w:eastAsia="Times New Roman"/>
          <w:color w:val="000000"/>
          <w:lang w:eastAsia="en-NZ"/>
        </w:rPr>
        <w:t xml:space="preserve">first </w:t>
      </w:r>
      <w:r w:rsidRPr="0012360B">
        <w:rPr>
          <w:rFonts w:eastAsia="Times New Roman"/>
          <w:color w:val="000000"/>
          <w:lang w:eastAsia="en-NZ"/>
        </w:rPr>
        <w:t>obtain a sub-</w:t>
      </w:r>
      <w:r w:rsidRPr="00F11BDC">
        <w:rPr>
          <w:rFonts w:eastAsia="Times New Roman"/>
          <w:color w:val="000000"/>
          <w:lang w:eastAsia="en-NZ"/>
        </w:rPr>
        <w:t>license</w:t>
      </w:r>
      <w:r w:rsidRPr="0012360B">
        <w:rPr>
          <w:rFonts w:eastAsia="Times New Roman"/>
          <w:color w:val="000000"/>
          <w:lang w:eastAsia="en-NZ"/>
        </w:rPr>
        <w:t xml:space="preserve"> from NZART. </w:t>
      </w:r>
      <w:r w:rsidRPr="00F11BDC">
        <w:rPr>
          <w:rFonts w:eastAsia="Times New Roman"/>
          <w:color w:val="000000"/>
          <w:lang w:eastAsia="en-NZ"/>
        </w:rPr>
        <w:t xml:space="preserve">As at 1 August, 2018, 141 operators have received </w:t>
      </w:r>
      <w:r w:rsidRPr="0012360B">
        <w:rPr>
          <w:rFonts w:eastAsia="Times New Roman"/>
          <w:color w:val="000000"/>
          <w:lang w:eastAsia="en-NZ"/>
        </w:rPr>
        <w:t>sub-</w:t>
      </w:r>
      <w:r w:rsidRPr="00F11BDC">
        <w:rPr>
          <w:rFonts w:eastAsia="Times New Roman"/>
          <w:color w:val="000000"/>
          <w:lang w:eastAsia="en-NZ"/>
        </w:rPr>
        <w:t>licenses</w:t>
      </w:r>
      <w:r w:rsidRPr="0012360B">
        <w:rPr>
          <w:rFonts w:eastAsia="Times New Roman"/>
          <w:color w:val="000000"/>
          <w:lang w:eastAsia="en-NZ"/>
        </w:rPr>
        <w:t>.</w:t>
      </w:r>
    </w:p>
    <w:p w:rsidR="00F11BDC" w:rsidRPr="0012360B" w:rsidRDefault="00F11BDC" w:rsidP="00F11BDC">
      <w:pPr>
        <w:rPr>
          <w:rFonts w:eastAsia="Times New Roman"/>
          <w:lang w:eastAsia="en-NZ"/>
        </w:rPr>
      </w:pPr>
    </w:p>
    <w:p w:rsidR="00F11BDC" w:rsidRPr="0012360B" w:rsidRDefault="00F11BDC" w:rsidP="00F11BDC">
      <w:pPr>
        <w:spacing w:line="288" w:lineRule="atLeast"/>
        <w:rPr>
          <w:rFonts w:eastAsia="Times New Roman"/>
          <w:color w:val="000000"/>
          <w:lang w:eastAsia="en-NZ"/>
        </w:rPr>
      </w:pPr>
      <w:r w:rsidRPr="0012360B">
        <w:rPr>
          <w:rFonts w:eastAsia="Times New Roman"/>
          <w:color w:val="000000"/>
          <w:lang w:eastAsia="en-NZ"/>
        </w:rPr>
        <w:t xml:space="preserve">To date most activity seems to have been by DXers who, even with 10 watts, can work Europe and the USA on CW and digital modes, especially FT8.  Activity has </w:t>
      </w:r>
      <w:r w:rsidRPr="00F11BDC">
        <w:rPr>
          <w:rFonts w:eastAsia="Times New Roman"/>
          <w:color w:val="000000"/>
          <w:lang w:eastAsia="en-NZ"/>
        </w:rPr>
        <w:t>centered</w:t>
      </w:r>
      <w:r w:rsidRPr="0012360B">
        <w:rPr>
          <w:rFonts w:eastAsia="Times New Roman"/>
          <w:color w:val="000000"/>
          <w:lang w:eastAsia="en-NZ"/>
        </w:rPr>
        <w:t xml:space="preserve"> </w:t>
      </w:r>
      <w:r w:rsidRPr="00F11BDC">
        <w:rPr>
          <w:rFonts w:eastAsia="Times New Roman"/>
          <w:color w:val="000000"/>
          <w:lang w:eastAsia="en-NZ"/>
        </w:rPr>
        <w:t>on</w:t>
      </w:r>
      <w:r w:rsidRPr="0012360B">
        <w:rPr>
          <w:rFonts w:eastAsia="Times New Roman"/>
          <w:color w:val="000000"/>
          <w:lang w:eastAsia="en-NZ"/>
        </w:rPr>
        <w:t xml:space="preserve"> 5362</w:t>
      </w:r>
      <w:r w:rsidRPr="00F11BDC">
        <w:rPr>
          <w:rFonts w:eastAsia="Times New Roman"/>
          <w:color w:val="000000"/>
          <w:lang w:eastAsia="en-NZ"/>
        </w:rPr>
        <w:t>.05</w:t>
      </w:r>
      <w:r w:rsidRPr="0012360B">
        <w:rPr>
          <w:rFonts w:eastAsia="Times New Roman"/>
          <w:color w:val="000000"/>
          <w:lang w:eastAsia="en-NZ"/>
        </w:rPr>
        <w:t xml:space="preserve"> kHz where our band plan allows CW from 5362.05 - 5362.75 </w:t>
      </w:r>
      <w:r>
        <w:rPr>
          <w:rFonts w:eastAsia="Times New Roman"/>
          <w:color w:val="000000"/>
          <w:lang w:eastAsia="en-NZ"/>
        </w:rPr>
        <w:t>and</w:t>
      </w:r>
      <w:r w:rsidRPr="0012360B">
        <w:rPr>
          <w:rFonts w:eastAsia="Times New Roman"/>
          <w:color w:val="000000"/>
          <w:lang w:eastAsia="en-NZ"/>
        </w:rPr>
        <w:t xml:space="preserve"> digital modes from 5362.8 - 5364.75 (up to 100 Hz bandwidth).  Unfortunately</w:t>
      </w:r>
      <w:r w:rsidRPr="00F11BDC">
        <w:rPr>
          <w:rFonts w:eastAsia="Times New Roman"/>
          <w:color w:val="000000"/>
          <w:lang w:eastAsia="en-NZ"/>
        </w:rPr>
        <w:t xml:space="preserve">, </w:t>
      </w:r>
      <w:r w:rsidRPr="0012360B">
        <w:rPr>
          <w:rFonts w:eastAsia="Times New Roman"/>
          <w:color w:val="000000"/>
          <w:lang w:eastAsia="en-NZ"/>
        </w:rPr>
        <w:t>unlike the other HF bands</w:t>
      </w:r>
      <w:r w:rsidRPr="00F11BDC">
        <w:rPr>
          <w:rFonts w:eastAsia="Times New Roman"/>
          <w:color w:val="000000"/>
          <w:lang w:eastAsia="en-NZ"/>
        </w:rPr>
        <w:t xml:space="preserve">, </w:t>
      </w:r>
      <w:r w:rsidRPr="0012360B">
        <w:rPr>
          <w:rFonts w:eastAsia="Times New Roman"/>
          <w:color w:val="000000"/>
          <w:lang w:eastAsia="en-NZ"/>
        </w:rPr>
        <w:t>60 metres does not have a uniform allocation around the globe</w:t>
      </w:r>
      <w:r w:rsidRPr="00F11BDC">
        <w:rPr>
          <w:rFonts w:eastAsia="Times New Roman"/>
          <w:color w:val="000000"/>
          <w:lang w:eastAsia="en-NZ"/>
        </w:rPr>
        <w:t>. I</w:t>
      </w:r>
      <w:r w:rsidRPr="0012360B">
        <w:rPr>
          <w:rFonts w:eastAsia="Times New Roman"/>
          <w:color w:val="000000"/>
          <w:lang w:eastAsia="en-NZ"/>
        </w:rPr>
        <w:t>n particular</w:t>
      </w:r>
      <w:r w:rsidRPr="00F11BDC">
        <w:rPr>
          <w:rFonts w:eastAsia="Times New Roman"/>
          <w:color w:val="000000"/>
          <w:lang w:eastAsia="en-NZ"/>
        </w:rPr>
        <w:t xml:space="preserve">, NZ operators wishing </w:t>
      </w:r>
      <w:r w:rsidRPr="0012360B">
        <w:rPr>
          <w:rFonts w:eastAsia="Times New Roman"/>
          <w:color w:val="000000"/>
          <w:lang w:eastAsia="en-NZ"/>
        </w:rPr>
        <w:t xml:space="preserve">to work the USA or Canada </w:t>
      </w:r>
      <w:r w:rsidRPr="00F11BDC">
        <w:rPr>
          <w:rFonts w:eastAsia="Times New Roman"/>
          <w:color w:val="000000"/>
          <w:lang w:eastAsia="en-NZ"/>
        </w:rPr>
        <w:t xml:space="preserve">need to do so by </w:t>
      </w:r>
      <w:r w:rsidRPr="0012360B">
        <w:rPr>
          <w:rFonts w:eastAsia="Times New Roman"/>
          <w:color w:val="000000"/>
          <w:lang w:eastAsia="en-NZ"/>
        </w:rPr>
        <w:t xml:space="preserve">sked and split operation as they cannot transmit on 5362 kHz. Most DX tends to occur around our </w:t>
      </w:r>
      <w:r w:rsidRPr="00F11BDC">
        <w:rPr>
          <w:rFonts w:eastAsia="Times New Roman"/>
          <w:color w:val="000000"/>
          <w:lang w:eastAsia="en-NZ"/>
        </w:rPr>
        <w:t>grey-line</w:t>
      </w:r>
      <w:r w:rsidRPr="0012360B">
        <w:rPr>
          <w:rFonts w:eastAsia="Times New Roman"/>
          <w:color w:val="000000"/>
          <w:lang w:eastAsia="en-NZ"/>
        </w:rPr>
        <w:t>.</w:t>
      </w:r>
    </w:p>
    <w:p w:rsidR="00F11BDC" w:rsidRPr="0012360B" w:rsidRDefault="00F11BDC" w:rsidP="00F11BDC">
      <w:pPr>
        <w:rPr>
          <w:rFonts w:eastAsia="Times New Roman"/>
          <w:color w:val="000000"/>
          <w:lang w:eastAsia="en-NZ"/>
        </w:rPr>
      </w:pPr>
      <w:r w:rsidRPr="0012360B">
        <w:rPr>
          <w:rFonts w:eastAsia="Times New Roman"/>
          <w:color w:val="000000"/>
          <w:lang w:eastAsia="en-NZ"/>
        </w:rPr>
        <w:br/>
        <w:t>To date there have been few reports of use by the primary user</w:t>
      </w:r>
      <w:r w:rsidRPr="00F11BDC">
        <w:rPr>
          <w:rFonts w:eastAsia="Times New Roman"/>
          <w:color w:val="000000"/>
          <w:lang w:eastAsia="en-NZ"/>
        </w:rPr>
        <w:t xml:space="preserve">, </w:t>
      </w:r>
      <w:r w:rsidRPr="0012360B">
        <w:rPr>
          <w:rFonts w:eastAsia="Times New Roman"/>
          <w:color w:val="000000"/>
          <w:lang w:eastAsia="en-NZ"/>
        </w:rPr>
        <w:t>although there has been over the horizon radar interference at times.  </w:t>
      </w:r>
      <w:r>
        <w:rPr>
          <w:rFonts w:eastAsia="Times New Roman"/>
          <w:color w:val="000000"/>
          <w:lang w:eastAsia="en-NZ"/>
        </w:rPr>
        <w:t>After</w:t>
      </w:r>
      <w:r w:rsidRPr="0012360B">
        <w:rPr>
          <w:rFonts w:eastAsia="Times New Roman"/>
          <w:color w:val="000000"/>
          <w:lang w:eastAsia="en-NZ"/>
        </w:rPr>
        <w:t xml:space="preserve"> the trial </w:t>
      </w:r>
      <w:r>
        <w:rPr>
          <w:rFonts w:eastAsia="Times New Roman"/>
          <w:color w:val="000000"/>
          <w:lang w:eastAsia="en-NZ"/>
        </w:rPr>
        <w:t>ends</w:t>
      </w:r>
      <w:r w:rsidRPr="00F11BDC">
        <w:rPr>
          <w:rFonts w:eastAsia="Times New Roman"/>
          <w:color w:val="000000"/>
          <w:lang w:eastAsia="en-NZ"/>
        </w:rPr>
        <w:t>, our objective would be t</w:t>
      </w:r>
      <w:r w:rsidRPr="0012360B">
        <w:rPr>
          <w:rFonts w:eastAsia="Times New Roman"/>
          <w:color w:val="000000"/>
          <w:lang w:eastAsia="en-NZ"/>
        </w:rPr>
        <w:t xml:space="preserve">o obtain access to 60m frequencies which are in regular use overseas, especially the </w:t>
      </w:r>
      <w:r w:rsidRPr="0012360B">
        <w:rPr>
          <w:rFonts w:eastAsia="Times New Roman"/>
          <w:color w:val="000000"/>
          <w:lang w:eastAsia="en-NZ"/>
        </w:rPr>
        <w:lastRenderedPageBreak/>
        <w:t>dial frequency of 5357 kHz</w:t>
      </w:r>
      <w:r>
        <w:rPr>
          <w:rFonts w:eastAsia="Times New Roman"/>
          <w:color w:val="000000"/>
          <w:lang w:eastAsia="en-NZ"/>
        </w:rPr>
        <w:t xml:space="preserve">, </w:t>
      </w:r>
      <w:r w:rsidRPr="0012360B">
        <w:rPr>
          <w:rFonts w:eastAsia="Times New Roman"/>
          <w:color w:val="000000"/>
          <w:lang w:eastAsia="en-NZ"/>
        </w:rPr>
        <w:t>as</w:t>
      </w:r>
      <w:r w:rsidRPr="00F11BDC">
        <w:rPr>
          <w:rFonts w:eastAsia="Times New Roman"/>
          <w:color w:val="000000"/>
          <w:lang w:eastAsia="en-NZ"/>
        </w:rPr>
        <w:t xml:space="preserve"> that is where </w:t>
      </w:r>
      <w:r w:rsidRPr="0012360B">
        <w:rPr>
          <w:rFonts w:eastAsia="Times New Roman"/>
          <w:color w:val="000000"/>
          <w:lang w:eastAsia="en-NZ"/>
        </w:rPr>
        <w:t xml:space="preserve">most activity seems to be </w:t>
      </w:r>
      <w:r w:rsidRPr="00F11BDC">
        <w:rPr>
          <w:rFonts w:eastAsia="Times New Roman"/>
          <w:color w:val="000000"/>
          <w:lang w:eastAsia="en-NZ"/>
        </w:rPr>
        <w:t>centered.</w:t>
      </w:r>
      <w:r>
        <w:rPr>
          <w:rFonts w:eastAsia="Times New Roman"/>
          <w:color w:val="000000"/>
          <w:lang w:eastAsia="en-NZ"/>
        </w:rPr>
        <w:t xml:space="preserve"> </w:t>
      </w:r>
      <w:r w:rsidRPr="00F11BDC">
        <w:rPr>
          <w:rFonts w:eastAsia="Times New Roman"/>
          <w:color w:val="000000"/>
          <w:lang w:eastAsia="en-NZ"/>
        </w:rPr>
        <w:t>Negotiating a</w:t>
      </w:r>
      <w:r w:rsidRPr="0012360B">
        <w:rPr>
          <w:rFonts w:eastAsia="Times New Roman"/>
          <w:color w:val="000000"/>
          <w:lang w:eastAsia="en-NZ"/>
        </w:rPr>
        <w:t xml:space="preserve">dditional frequencies would </w:t>
      </w:r>
      <w:r w:rsidRPr="00F11BDC">
        <w:rPr>
          <w:rFonts w:eastAsia="Times New Roman"/>
          <w:color w:val="000000"/>
          <w:lang w:eastAsia="en-NZ"/>
        </w:rPr>
        <w:t xml:space="preserve">also provide </w:t>
      </w:r>
      <w:r w:rsidRPr="0012360B">
        <w:rPr>
          <w:rFonts w:eastAsia="Times New Roman"/>
          <w:color w:val="000000"/>
          <w:lang w:eastAsia="en-NZ"/>
        </w:rPr>
        <w:t>a</w:t>
      </w:r>
      <w:r w:rsidRPr="00F11BDC">
        <w:rPr>
          <w:rFonts w:eastAsia="Times New Roman"/>
          <w:color w:val="000000"/>
          <w:lang w:eastAsia="en-NZ"/>
        </w:rPr>
        <w:t xml:space="preserve"> more effective band</w:t>
      </w:r>
      <w:r w:rsidRPr="0012360B">
        <w:rPr>
          <w:rFonts w:eastAsia="Times New Roman"/>
          <w:color w:val="000000"/>
          <w:lang w:eastAsia="en-NZ"/>
        </w:rPr>
        <w:t xml:space="preserve"> plan</w:t>
      </w:r>
      <w:r w:rsidRPr="00F11BDC">
        <w:rPr>
          <w:rFonts w:eastAsia="Times New Roman"/>
          <w:color w:val="000000"/>
          <w:lang w:eastAsia="en-NZ"/>
        </w:rPr>
        <w:t xml:space="preserve"> – perhaps allowing for </w:t>
      </w:r>
      <w:r w:rsidRPr="0012360B">
        <w:rPr>
          <w:rFonts w:eastAsia="Times New Roman"/>
          <w:color w:val="000000"/>
          <w:lang w:eastAsia="en-NZ"/>
        </w:rPr>
        <w:t>wider digital mode</w:t>
      </w:r>
      <w:r w:rsidRPr="00F11BDC">
        <w:rPr>
          <w:rFonts w:eastAsia="Times New Roman"/>
          <w:color w:val="000000"/>
          <w:lang w:eastAsia="en-NZ"/>
        </w:rPr>
        <w:t xml:space="preserve">s than the current 100 Hz limit. </w:t>
      </w:r>
    </w:p>
    <w:p w:rsidR="00B12001" w:rsidRDefault="00F11BDC" w:rsidP="00F11BDC">
      <w:pPr>
        <w:rPr>
          <w:rFonts w:eastAsia="ＭＳ 明朝"/>
          <w:lang w:eastAsia="ja-JP"/>
        </w:rPr>
      </w:pPr>
      <w:r w:rsidRPr="0012360B">
        <w:rPr>
          <w:rFonts w:eastAsia="Times New Roman"/>
          <w:color w:val="000000"/>
          <w:lang w:eastAsia="en-NZ"/>
        </w:rPr>
        <w:br/>
      </w:r>
      <w:r w:rsidR="006154C0">
        <w:rPr>
          <w:rFonts w:eastAsia="ＭＳ 明朝"/>
          <w:lang w:eastAsia="ja-JP"/>
        </w:rPr>
        <w:t xml:space="preserve">In summary, </w:t>
      </w:r>
      <w:r w:rsidR="001517DC">
        <w:rPr>
          <w:rFonts w:eastAsia="ＭＳ 明朝"/>
          <w:lang w:eastAsia="ja-JP"/>
        </w:rPr>
        <w:t xml:space="preserve">it is quite likely </w:t>
      </w:r>
      <w:r w:rsidR="00B12001">
        <w:rPr>
          <w:rFonts w:eastAsia="ＭＳ 明朝"/>
          <w:lang w:eastAsia="ja-JP"/>
        </w:rPr>
        <w:t xml:space="preserve">that the 60m band will have </w:t>
      </w:r>
      <w:r w:rsidR="006154C0">
        <w:rPr>
          <w:rFonts w:eastAsia="ＭＳ 明朝"/>
          <w:lang w:eastAsia="ja-JP"/>
        </w:rPr>
        <w:t xml:space="preserve">primary users </w:t>
      </w:r>
      <w:r w:rsidR="001517DC">
        <w:rPr>
          <w:rFonts w:eastAsia="ＭＳ 明朝"/>
          <w:lang w:eastAsia="ja-JP"/>
        </w:rPr>
        <w:t>whose licenses pre</w:t>
      </w:r>
      <w:r w:rsidR="00B12001">
        <w:rPr>
          <w:rFonts w:eastAsia="ＭＳ 明朝"/>
          <w:lang w:eastAsia="ja-JP"/>
        </w:rPr>
        <w:t>-dat</w:t>
      </w:r>
      <w:r w:rsidR="001517DC">
        <w:rPr>
          <w:rFonts w:eastAsia="ＭＳ 明朝"/>
          <w:lang w:eastAsia="ja-JP"/>
        </w:rPr>
        <w:t xml:space="preserve">e </w:t>
      </w:r>
      <w:r w:rsidR="006154C0">
        <w:rPr>
          <w:rFonts w:eastAsia="ＭＳ 明朝"/>
          <w:lang w:eastAsia="ja-JP"/>
        </w:rPr>
        <w:t xml:space="preserve">IARU-15. Members Societies seeking access to </w:t>
      </w:r>
      <w:r w:rsidR="006154C0" w:rsidRPr="00D21EE1">
        <w:rPr>
          <w:rFonts w:eastAsia="Times New Roman"/>
          <w:iCs/>
          <w:lang w:val="en-GB"/>
        </w:rPr>
        <w:t>5351.5 – 5366.5 kHz</w:t>
      </w:r>
      <w:r w:rsidR="002A5A71">
        <w:rPr>
          <w:rFonts w:eastAsia="Times New Roman"/>
          <w:iCs/>
          <w:lang w:val="en-GB"/>
        </w:rPr>
        <w:t xml:space="preserve"> </w:t>
      </w:r>
      <w:r w:rsidR="00B12001">
        <w:rPr>
          <w:rFonts w:eastAsia="Times New Roman"/>
          <w:iCs/>
          <w:lang w:val="en-GB"/>
        </w:rPr>
        <w:t xml:space="preserve">for their operators </w:t>
      </w:r>
      <w:r w:rsidR="002A5A71">
        <w:rPr>
          <w:rFonts w:eastAsia="ＭＳ 明朝"/>
          <w:lang w:eastAsia="ja-JP"/>
        </w:rPr>
        <w:t>may</w:t>
      </w:r>
      <w:r w:rsidR="006154C0">
        <w:rPr>
          <w:rFonts w:eastAsia="ＭＳ 明朝"/>
          <w:lang w:eastAsia="ja-JP"/>
        </w:rPr>
        <w:t xml:space="preserve"> need to negotiate with their respective spectrum manager and any existing licensees</w:t>
      </w:r>
      <w:r w:rsidR="00B12001">
        <w:rPr>
          <w:rFonts w:eastAsia="ＭＳ 明朝"/>
          <w:lang w:eastAsia="ja-JP"/>
        </w:rPr>
        <w:t>.</w:t>
      </w:r>
      <w:r w:rsidR="006154C0">
        <w:rPr>
          <w:rFonts w:eastAsia="ＭＳ 明朝"/>
          <w:lang w:eastAsia="ja-JP"/>
        </w:rPr>
        <w:t xml:space="preserve"> This paper records the </w:t>
      </w:r>
      <w:r w:rsidR="002A5A71">
        <w:rPr>
          <w:rFonts w:eastAsia="ＭＳ 明朝"/>
          <w:lang w:eastAsia="ja-JP"/>
        </w:rPr>
        <w:t xml:space="preserve">approach taken by NZART and the </w:t>
      </w:r>
      <w:r w:rsidR="006154C0">
        <w:rPr>
          <w:rFonts w:eastAsia="ＭＳ 明朝"/>
          <w:lang w:eastAsia="ja-JP"/>
        </w:rPr>
        <w:t xml:space="preserve">goodwill that prevailed in New Zealand to give our operators the opportunity to </w:t>
      </w:r>
      <w:r w:rsidR="00B12001">
        <w:rPr>
          <w:rFonts w:eastAsia="ＭＳ 明朝"/>
          <w:lang w:eastAsia="ja-JP"/>
        </w:rPr>
        <w:t>demonstrate</w:t>
      </w:r>
      <w:r w:rsidR="006154C0">
        <w:rPr>
          <w:rFonts w:eastAsia="ＭＳ 明朝"/>
          <w:lang w:eastAsia="ja-JP"/>
        </w:rPr>
        <w:t xml:space="preserve"> that </w:t>
      </w:r>
      <w:r w:rsidR="00B12001">
        <w:rPr>
          <w:rFonts w:eastAsia="ＭＳ 明朝"/>
          <w:lang w:eastAsia="ja-JP"/>
        </w:rPr>
        <w:t xml:space="preserve">regulated </w:t>
      </w:r>
      <w:r w:rsidR="006154C0">
        <w:rPr>
          <w:rFonts w:eastAsia="ＭＳ 明朝"/>
          <w:lang w:eastAsia="ja-JP"/>
        </w:rPr>
        <w:t xml:space="preserve">secondary access could provide </w:t>
      </w:r>
      <w:r w:rsidR="00B12001">
        <w:rPr>
          <w:rFonts w:eastAsia="ＭＳ 明朝"/>
          <w:lang w:eastAsia="ja-JP"/>
        </w:rPr>
        <w:t>an outcome that is satisfactory to the primary user and spectrum management.</w:t>
      </w:r>
    </w:p>
    <w:p w:rsidR="00B12001" w:rsidRDefault="00B12001" w:rsidP="00F11BDC">
      <w:pPr>
        <w:rPr>
          <w:rFonts w:eastAsia="ＭＳ 明朝"/>
          <w:lang w:eastAsia="ja-JP"/>
        </w:rPr>
      </w:pPr>
    </w:p>
    <w:p w:rsidR="00B12001" w:rsidRDefault="00B12001" w:rsidP="00F11BDC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Recommendation:</w:t>
      </w:r>
    </w:p>
    <w:p w:rsidR="00B12001" w:rsidRDefault="00B12001" w:rsidP="00F11BDC">
      <w:pPr>
        <w:rPr>
          <w:rFonts w:eastAsia="ＭＳ 明朝"/>
          <w:lang w:eastAsia="ja-JP"/>
        </w:rPr>
      </w:pPr>
    </w:p>
    <w:p w:rsidR="004D2E86" w:rsidRPr="00676C1D" w:rsidRDefault="00B12001" w:rsidP="00F11BDC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That Member Societies note this paper.</w:t>
      </w:r>
      <w:r w:rsidR="006154C0">
        <w:rPr>
          <w:rFonts w:eastAsia="ＭＳ 明朝"/>
          <w:lang w:eastAsia="ja-JP"/>
        </w:rPr>
        <w:t xml:space="preserve">  </w:t>
      </w:r>
    </w:p>
    <w:p w:rsidR="00156D1D" w:rsidRPr="006C05A8" w:rsidRDefault="00156D1D">
      <w:pPr>
        <w:rPr>
          <w:rFonts w:eastAsia="ＭＳ 明朝"/>
          <w:lang w:eastAsia="ja-JP"/>
        </w:rPr>
      </w:pPr>
    </w:p>
    <w:sectPr w:rsidR="00156D1D" w:rsidRPr="006C05A8" w:rsidSect="00F11BDC">
      <w:headerReference w:type="default" r:id="rId9"/>
      <w:pgSz w:w="11909" w:h="16834" w:code="9"/>
      <w:pgMar w:top="1418" w:right="1703" w:bottom="1701" w:left="170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82800" w:rsidRDefault="00A82800">
      <w:r>
        <w:separator/>
      </w:r>
    </w:p>
  </w:endnote>
  <w:endnote w:type="continuationSeparator" w:id="0">
    <w:p w:rsidR="00A82800" w:rsidRDefault="00A828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ulimChe">
    <w:charset w:val="81"/>
    <w:family w:val="modern"/>
    <w:pitch w:val="fixed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atangChe">
    <w:altName w:val="BatangChe"/>
    <w:charset w:val="81"/>
    <w:family w:val="modern"/>
    <w:pitch w:val="fixed"/>
    <w:sig w:usb0="B00002AF" w:usb1="69D77CFB" w:usb2="00000030" w:usb3="00000000" w:csb0="0008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82800" w:rsidRDefault="00A82800">
      <w:r>
        <w:separator/>
      </w:r>
    </w:p>
  </w:footnote>
  <w:footnote w:type="continuationSeparator" w:id="0">
    <w:p w:rsidR="00A82800" w:rsidRDefault="00A828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6C1D" w:rsidRPr="00726191" w:rsidRDefault="00676C1D" w:rsidP="00726191">
    <w:pPr>
      <w:pStyle w:val="a7"/>
      <w:jc w:val="center"/>
      <w:rPr>
        <w:sz w:val="20"/>
        <w:szCs w:val="20"/>
      </w:rPr>
    </w:pPr>
    <w:r w:rsidRPr="00726191">
      <w:rPr>
        <w:sz w:val="20"/>
        <w:szCs w:val="20"/>
      </w:rPr>
      <w:t xml:space="preserve">- </w:t>
    </w:r>
    <w:r w:rsidRPr="00726191">
      <w:rPr>
        <w:rStyle w:val="a5"/>
        <w:sz w:val="20"/>
        <w:szCs w:val="20"/>
      </w:rPr>
      <w:fldChar w:fldCharType="begin"/>
    </w:r>
    <w:r w:rsidRPr="00726191">
      <w:rPr>
        <w:rStyle w:val="a5"/>
        <w:sz w:val="20"/>
        <w:szCs w:val="20"/>
      </w:rPr>
      <w:instrText xml:space="preserve"> PAGE </w:instrText>
    </w:r>
    <w:r w:rsidRPr="00726191">
      <w:rPr>
        <w:rStyle w:val="a5"/>
        <w:sz w:val="20"/>
        <w:szCs w:val="20"/>
      </w:rPr>
      <w:fldChar w:fldCharType="separate"/>
    </w:r>
    <w:r w:rsidR="00D24256">
      <w:rPr>
        <w:rStyle w:val="a5"/>
        <w:noProof/>
        <w:sz w:val="20"/>
        <w:szCs w:val="20"/>
      </w:rPr>
      <w:t>2</w:t>
    </w:r>
    <w:r w:rsidRPr="00726191">
      <w:rPr>
        <w:rStyle w:val="a5"/>
        <w:sz w:val="20"/>
        <w:szCs w:val="20"/>
      </w:rPr>
      <w:fldChar w:fldCharType="end"/>
    </w:r>
    <w:r w:rsidRPr="00726191">
      <w:rPr>
        <w:rStyle w:val="a5"/>
        <w:sz w:val="20"/>
        <w:szCs w:val="20"/>
      </w:rPr>
      <w:t xml:space="preserve"> </w:t>
    </w:r>
    <w:r w:rsidRPr="00726191">
      <w:rPr>
        <w:rStyle w:val="a5"/>
        <w:rFonts w:hint="eastAsia"/>
        <w:sz w:val="20"/>
        <w:szCs w:val="20"/>
      </w:rPr>
      <w:t>-</w:t>
    </w:r>
    <w:r w:rsidRPr="00726191">
      <w:rPr>
        <w:rStyle w:val="a5"/>
        <w:sz w:val="20"/>
        <w:szCs w:val="20"/>
      </w:rPr>
      <w:br/>
      <w:t>Document</w:t>
    </w:r>
    <w:r w:rsidRPr="00726191">
      <w:rPr>
        <w:rStyle w:val="a5"/>
        <w:rFonts w:hint="eastAsia"/>
        <w:sz w:val="20"/>
        <w:szCs w:val="20"/>
      </w:rPr>
      <w:t xml:space="preserve"> No.</w:t>
    </w:r>
    <w:r w:rsidRPr="00726191">
      <w:rPr>
        <w:rStyle w:val="a5"/>
        <w:sz w:val="20"/>
        <w:szCs w:val="20"/>
      </w:rPr>
      <w:t xml:space="preserve"> </w:t>
    </w:r>
    <w:r w:rsidR="000529A1">
      <w:rPr>
        <w:rStyle w:val="a5"/>
        <w:rFonts w:eastAsia="ＭＳ 明朝" w:hint="eastAsia"/>
        <w:sz w:val="20"/>
        <w:szCs w:val="20"/>
        <w:lang w:eastAsia="ja-JP"/>
      </w:rPr>
      <w:t>1</w:t>
    </w:r>
    <w:r w:rsidR="005E03DD">
      <w:rPr>
        <w:rStyle w:val="a5"/>
        <w:rFonts w:eastAsia="ＭＳ 明朝"/>
        <w:sz w:val="20"/>
        <w:szCs w:val="20"/>
        <w:lang w:eastAsia="ja-JP"/>
      </w:rPr>
      <w:t>8</w:t>
    </w:r>
    <w:r w:rsidRPr="00726191">
      <w:rPr>
        <w:rStyle w:val="a5"/>
        <w:rFonts w:hint="eastAsia"/>
        <w:sz w:val="20"/>
        <w:szCs w:val="20"/>
      </w:rPr>
      <w:t>/XV</w:t>
    </w:r>
    <w:r w:rsidR="00847A46">
      <w:rPr>
        <w:rStyle w:val="a5"/>
        <w:sz w:val="20"/>
        <w:szCs w:val="20"/>
      </w:rPr>
      <w:t>I</w:t>
    </w:r>
    <w:r w:rsidR="005E03DD">
      <w:rPr>
        <w:rStyle w:val="a5"/>
        <w:sz w:val="20"/>
        <w:szCs w:val="20"/>
      </w:rPr>
      <w:t>I</w:t>
    </w:r>
    <w:r w:rsidRPr="00726191">
      <w:rPr>
        <w:rStyle w:val="a5"/>
        <w:rFonts w:hint="eastAsia"/>
        <w:sz w:val="20"/>
        <w:szCs w:val="20"/>
      </w:rPr>
      <w:t>/0</w:t>
    </w:r>
    <w:r w:rsidR="00040038">
      <w:rPr>
        <w:rStyle w:val="a5"/>
        <w:sz w:val="20"/>
        <w:szCs w:val="20"/>
      </w:rPr>
      <w:t>27</w:t>
    </w:r>
  </w:p>
  <w:p w:rsidR="00676C1D" w:rsidRDefault="00676C1D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5E695D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160"/>
        </w:tabs>
        <w:ind w:left="116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E0848EE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2" w15:restartNumberingAfterBreak="0">
    <w:nsid w:val="21D34771"/>
    <w:multiLevelType w:val="hybridMultilevel"/>
    <w:tmpl w:val="764E0C7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134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25001BAB"/>
    <w:multiLevelType w:val="hybridMultilevel"/>
    <w:tmpl w:val="53F8C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4" w15:restartNumberingAfterBreak="0">
    <w:nsid w:val="30641696"/>
    <w:multiLevelType w:val="hybridMultilevel"/>
    <w:tmpl w:val="EFDC8FF6"/>
    <w:lvl w:ilvl="0" w:tplc="81F65682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520"/>
        </w:tabs>
        <w:ind w:left="152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960"/>
        </w:tabs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60"/>
        </w:tabs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60"/>
        </w:tabs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60"/>
        </w:tabs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60"/>
        </w:tabs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60"/>
        </w:tabs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60"/>
        </w:tabs>
        <w:ind w:left="4360" w:hanging="400"/>
      </w:pPr>
      <w:rPr>
        <w:rFonts w:ascii="Wingdings" w:hAnsi="Wingdings" w:hint="default"/>
      </w:rPr>
    </w:lvl>
  </w:abstractNum>
  <w:abstractNum w:abstractNumId="5" w15:restartNumberingAfterBreak="0">
    <w:nsid w:val="36EE16D3"/>
    <w:multiLevelType w:val="hybridMultilevel"/>
    <w:tmpl w:val="764E0C7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722A45E8">
      <w:start w:val="2"/>
      <w:numFmt w:val="bullet"/>
      <w:suff w:val="space"/>
      <w:lvlText w:val="-"/>
      <w:lvlJc w:val="left"/>
      <w:pPr>
        <w:ind w:left="980" w:hanging="180"/>
      </w:pPr>
      <w:rPr>
        <w:rFonts w:ascii="Times New Roman" w:eastAsia="GulimChe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 w15:restartNumberingAfterBreak="0">
    <w:nsid w:val="36F050AC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18A1258"/>
    <w:multiLevelType w:val="hybridMultilevel"/>
    <w:tmpl w:val="EFDC8FF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7"/>
  </w:num>
  <w:num w:numId="5">
    <w:abstractNumId w:val="4"/>
  </w:num>
  <w:num w:numId="6">
    <w:abstractNumId w:val="6"/>
  </w:num>
  <w:num w:numId="7">
    <w:abstractNumId w:val="1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2C3B"/>
    <w:rsid w:val="0003595B"/>
    <w:rsid w:val="00035EFB"/>
    <w:rsid w:val="00040038"/>
    <w:rsid w:val="00040143"/>
    <w:rsid w:val="000529A1"/>
    <w:rsid w:val="0005660E"/>
    <w:rsid w:val="000713CF"/>
    <w:rsid w:val="000F5540"/>
    <w:rsid w:val="00113A81"/>
    <w:rsid w:val="001474EC"/>
    <w:rsid w:val="001517DC"/>
    <w:rsid w:val="001539DD"/>
    <w:rsid w:val="00156D1D"/>
    <w:rsid w:val="0017248C"/>
    <w:rsid w:val="00172C79"/>
    <w:rsid w:val="00172D1D"/>
    <w:rsid w:val="00176A1B"/>
    <w:rsid w:val="0019586B"/>
    <w:rsid w:val="00196568"/>
    <w:rsid w:val="001A2F16"/>
    <w:rsid w:val="001B18C2"/>
    <w:rsid w:val="001C619C"/>
    <w:rsid w:val="001D5D7E"/>
    <w:rsid w:val="001E2C3B"/>
    <w:rsid w:val="00254A1B"/>
    <w:rsid w:val="00257A9E"/>
    <w:rsid w:val="0028454D"/>
    <w:rsid w:val="00291350"/>
    <w:rsid w:val="00291C9E"/>
    <w:rsid w:val="002926D4"/>
    <w:rsid w:val="002A5A71"/>
    <w:rsid w:val="002C07DA"/>
    <w:rsid w:val="002C7EA9"/>
    <w:rsid w:val="002F27E1"/>
    <w:rsid w:val="002F418E"/>
    <w:rsid w:val="0034216C"/>
    <w:rsid w:val="003809C7"/>
    <w:rsid w:val="003A2D27"/>
    <w:rsid w:val="003B5373"/>
    <w:rsid w:val="003B6263"/>
    <w:rsid w:val="003C2A5B"/>
    <w:rsid w:val="003C64A7"/>
    <w:rsid w:val="003D3FDA"/>
    <w:rsid w:val="00420822"/>
    <w:rsid w:val="0045458F"/>
    <w:rsid w:val="004633B4"/>
    <w:rsid w:val="00480B03"/>
    <w:rsid w:val="004826F5"/>
    <w:rsid w:val="004A56D2"/>
    <w:rsid w:val="004B3553"/>
    <w:rsid w:val="004D2E86"/>
    <w:rsid w:val="00526E07"/>
    <w:rsid w:val="00530E8C"/>
    <w:rsid w:val="00545933"/>
    <w:rsid w:val="00587875"/>
    <w:rsid w:val="005E03DD"/>
    <w:rsid w:val="00607E2B"/>
    <w:rsid w:val="006154C0"/>
    <w:rsid w:val="006169F9"/>
    <w:rsid w:val="00623CE1"/>
    <w:rsid w:val="0063062B"/>
    <w:rsid w:val="00637BE5"/>
    <w:rsid w:val="00667229"/>
    <w:rsid w:val="00676C1D"/>
    <w:rsid w:val="00682BE5"/>
    <w:rsid w:val="00690FED"/>
    <w:rsid w:val="006939A5"/>
    <w:rsid w:val="006A7376"/>
    <w:rsid w:val="006B5AC7"/>
    <w:rsid w:val="006C05A8"/>
    <w:rsid w:val="00712451"/>
    <w:rsid w:val="00726191"/>
    <w:rsid w:val="00732F08"/>
    <w:rsid w:val="0074190C"/>
    <w:rsid w:val="00762576"/>
    <w:rsid w:val="00791060"/>
    <w:rsid w:val="007A7662"/>
    <w:rsid w:val="007B5626"/>
    <w:rsid w:val="007D161E"/>
    <w:rsid w:val="0080570B"/>
    <w:rsid w:val="008148E1"/>
    <w:rsid w:val="00847A46"/>
    <w:rsid w:val="008D0E09"/>
    <w:rsid w:val="008E4412"/>
    <w:rsid w:val="0097693B"/>
    <w:rsid w:val="00993355"/>
    <w:rsid w:val="009A4A6D"/>
    <w:rsid w:val="009C09CD"/>
    <w:rsid w:val="009E0413"/>
    <w:rsid w:val="00A13265"/>
    <w:rsid w:val="00A71136"/>
    <w:rsid w:val="00A80565"/>
    <w:rsid w:val="00A82800"/>
    <w:rsid w:val="00AA474C"/>
    <w:rsid w:val="00AD7E5F"/>
    <w:rsid w:val="00B01AA1"/>
    <w:rsid w:val="00B12001"/>
    <w:rsid w:val="00B30C81"/>
    <w:rsid w:val="00BD7620"/>
    <w:rsid w:val="00BF71AC"/>
    <w:rsid w:val="00C15633"/>
    <w:rsid w:val="00C15799"/>
    <w:rsid w:val="00C357AD"/>
    <w:rsid w:val="00C6069C"/>
    <w:rsid w:val="00CD5431"/>
    <w:rsid w:val="00CF2491"/>
    <w:rsid w:val="00D21EE1"/>
    <w:rsid w:val="00D24256"/>
    <w:rsid w:val="00D57772"/>
    <w:rsid w:val="00D7187E"/>
    <w:rsid w:val="00D75A4D"/>
    <w:rsid w:val="00D8478B"/>
    <w:rsid w:val="00D86151"/>
    <w:rsid w:val="00DA7595"/>
    <w:rsid w:val="00DB0A68"/>
    <w:rsid w:val="00DC43A3"/>
    <w:rsid w:val="00DC6954"/>
    <w:rsid w:val="00DE3816"/>
    <w:rsid w:val="00E0124F"/>
    <w:rsid w:val="00E4680F"/>
    <w:rsid w:val="00E674D3"/>
    <w:rsid w:val="00E70FD0"/>
    <w:rsid w:val="00E74909"/>
    <w:rsid w:val="00EB1638"/>
    <w:rsid w:val="00EF7F4A"/>
    <w:rsid w:val="00F10849"/>
    <w:rsid w:val="00F11BDC"/>
    <w:rsid w:val="00F34944"/>
    <w:rsid w:val="00F60CEA"/>
    <w:rsid w:val="00F84067"/>
    <w:rsid w:val="00FF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0065113"/>
  <w15:chartTrackingRefBased/>
  <w15:docId w15:val="{57271C54-86E1-4D40-BD8B-0B0791159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Batang" w:hAnsi="Times New Roman" w:cs="Times New Roman"/>
        <w:lang w:val="en-NZ" w:eastAsia="en-NZ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DA7595"/>
    <w:rPr>
      <w:rFonts w:eastAsia="BatangChe"/>
      <w:sz w:val="24"/>
      <w:szCs w:val="24"/>
      <w:lang w:val="en-US" w:eastAsia="en-US"/>
    </w:rPr>
  </w:style>
  <w:style w:type="paragraph" w:styleId="1">
    <w:name w:val="heading 1"/>
    <w:basedOn w:val="a"/>
    <w:next w:val="a"/>
    <w:qFormat/>
    <w:rsid w:val="00DA7595"/>
    <w:pPr>
      <w:keepNext/>
      <w:jc w:val="center"/>
      <w:outlineLvl w:val="0"/>
    </w:pPr>
    <w:rPr>
      <w:b/>
      <w:bCs/>
      <w:u w:val="single"/>
    </w:rPr>
  </w:style>
  <w:style w:type="paragraph" w:styleId="8">
    <w:name w:val="heading 8"/>
    <w:basedOn w:val="a"/>
    <w:next w:val="a"/>
    <w:qFormat/>
    <w:rsid w:val="00DA7595"/>
    <w:pPr>
      <w:keepNext/>
      <w:widowControl w:val="0"/>
      <w:wordWrap w:val="0"/>
      <w:jc w:val="both"/>
      <w:outlineLvl w:val="7"/>
    </w:pPr>
    <w:rPr>
      <w:b/>
      <w:bCs/>
      <w:kern w:val="2"/>
      <w:sz w:val="20"/>
      <w:szCs w:val="20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DA7595"/>
    <w:pPr>
      <w:tabs>
        <w:tab w:val="center" w:pos="4320"/>
        <w:tab w:val="right" w:pos="8640"/>
      </w:tabs>
    </w:pPr>
  </w:style>
  <w:style w:type="paragraph" w:customStyle="1" w:styleId="a4">
    <w:name w:val="표"/>
    <w:basedOn w:val="a"/>
    <w:next w:val="a"/>
    <w:autoRedefine/>
    <w:rsid w:val="00DA7595"/>
    <w:pPr>
      <w:widowControl w:val="0"/>
      <w:wordWrap w:val="0"/>
      <w:autoSpaceDE w:val="0"/>
      <w:autoSpaceDN w:val="0"/>
      <w:jc w:val="both"/>
    </w:pPr>
    <w:rPr>
      <w:rFonts w:ascii="Book Antiqua" w:eastAsia="GulimChe" w:hAnsi="Book Antiqua"/>
      <w:b/>
      <w:bCs/>
      <w:kern w:val="2"/>
      <w:sz w:val="28"/>
      <w:lang w:eastAsia="ko-KR"/>
    </w:rPr>
  </w:style>
  <w:style w:type="character" w:styleId="a5">
    <w:name w:val="page number"/>
    <w:basedOn w:val="a0"/>
    <w:rsid w:val="00DA7595"/>
  </w:style>
  <w:style w:type="paragraph" w:styleId="a6">
    <w:name w:val="Normal Indent"/>
    <w:basedOn w:val="a"/>
    <w:rsid w:val="00DA7595"/>
    <w:pPr>
      <w:widowControl w:val="0"/>
      <w:wordWrap w:val="0"/>
      <w:ind w:left="851"/>
      <w:jc w:val="both"/>
    </w:pPr>
    <w:rPr>
      <w:kern w:val="2"/>
      <w:sz w:val="20"/>
      <w:szCs w:val="20"/>
      <w:lang w:eastAsia="ko-KR"/>
    </w:rPr>
  </w:style>
  <w:style w:type="paragraph" w:customStyle="1" w:styleId="Note">
    <w:name w:val="Note"/>
    <w:basedOn w:val="a"/>
    <w:rsid w:val="00DA7595"/>
    <w:pPr>
      <w:tabs>
        <w:tab w:val="left" w:pos="284"/>
        <w:tab w:val="left" w:pos="1134"/>
        <w:tab w:val="left" w:pos="1871"/>
        <w:tab w:val="left" w:pos="2268"/>
      </w:tabs>
      <w:spacing w:before="160"/>
      <w:jc w:val="both"/>
    </w:pPr>
    <w:rPr>
      <w:noProof/>
      <w:sz w:val="20"/>
      <w:szCs w:val="20"/>
      <w:lang w:eastAsia="ko-KR"/>
    </w:rPr>
  </w:style>
  <w:style w:type="paragraph" w:styleId="a7">
    <w:name w:val="header"/>
    <w:basedOn w:val="a"/>
    <w:rsid w:val="0080570B"/>
    <w:pPr>
      <w:tabs>
        <w:tab w:val="center" w:pos="4320"/>
        <w:tab w:val="right" w:pos="8640"/>
      </w:tabs>
    </w:pPr>
  </w:style>
  <w:style w:type="paragraph" w:customStyle="1" w:styleId="Equation">
    <w:name w:val="Equation"/>
    <w:basedOn w:val="a"/>
    <w:rsid w:val="00AD7E5F"/>
    <w:pPr>
      <w:tabs>
        <w:tab w:val="left" w:pos="794"/>
        <w:tab w:val="center" w:pos="4820"/>
        <w:tab w:val="right" w:pos="9639"/>
      </w:tabs>
      <w:overflowPunct w:val="0"/>
      <w:autoSpaceDE w:val="0"/>
      <w:autoSpaceDN w:val="0"/>
      <w:adjustRightInd w:val="0"/>
      <w:spacing w:beforeLines="50" w:line="240" w:lineRule="atLeast"/>
      <w:textAlignment w:val="baseline"/>
    </w:pPr>
    <w:rPr>
      <w:rFonts w:eastAsia="ＭＳ 明朝"/>
      <w:szCs w:val="22"/>
      <w:lang w:val="en-GB"/>
    </w:rPr>
  </w:style>
  <w:style w:type="paragraph" w:styleId="a8">
    <w:name w:val="Balloon Text"/>
    <w:basedOn w:val="a"/>
    <w:link w:val="a9"/>
    <w:rsid w:val="009E0413"/>
    <w:rPr>
      <w:rFonts w:ascii="Arial" w:eastAsia="ＭＳ ゴシック" w:hAnsi="Arial"/>
      <w:sz w:val="18"/>
      <w:szCs w:val="18"/>
      <w:lang w:val="x-none"/>
    </w:rPr>
  </w:style>
  <w:style w:type="character" w:customStyle="1" w:styleId="a9">
    <w:name w:val="吹き出し (文字)"/>
    <w:link w:val="a8"/>
    <w:rsid w:val="009E0413"/>
    <w:rPr>
      <w:rFonts w:ascii="Arial" w:eastAsia="ＭＳ ゴシック" w:hAnsi="Arial" w:cs="Times New Roman"/>
      <w:sz w:val="18"/>
      <w:szCs w:val="18"/>
      <w:lang w:eastAsia="en-US"/>
    </w:rPr>
  </w:style>
  <w:style w:type="table" w:styleId="aa">
    <w:name w:val="Table Grid"/>
    <w:basedOn w:val="a1"/>
    <w:rsid w:val="0005660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10">
    <w:name w:val="index 1"/>
    <w:basedOn w:val="a"/>
    <w:next w:val="a"/>
    <w:rsid w:val="004A56D2"/>
    <w:pPr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120"/>
      <w:textAlignment w:val="baseline"/>
    </w:pPr>
    <w:rPr>
      <w:rFonts w:eastAsia="ＭＳ 明朝"/>
      <w:szCs w:val="20"/>
      <w:lang w:val="en-GB" w:eastAsia="ja-JP"/>
    </w:rPr>
  </w:style>
  <w:style w:type="paragraph" w:customStyle="1" w:styleId="Head">
    <w:name w:val="Head"/>
    <w:basedOn w:val="a"/>
    <w:rsid w:val="004A56D2"/>
    <w:pPr>
      <w:tabs>
        <w:tab w:val="left" w:pos="6663"/>
      </w:tabs>
      <w:overflowPunct w:val="0"/>
      <w:autoSpaceDE w:val="0"/>
      <w:autoSpaceDN w:val="0"/>
      <w:adjustRightInd w:val="0"/>
      <w:textAlignment w:val="baseline"/>
    </w:pPr>
    <w:rPr>
      <w:rFonts w:eastAsia="ＭＳ 明朝"/>
      <w:szCs w:val="20"/>
      <w:lang w:val="en-GB" w:eastAsia="ja-JP"/>
    </w:rPr>
  </w:style>
  <w:style w:type="paragraph" w:customStyle="1" w:styleId="Subject">
    <w:name w:val="Subject"/>
    <w:basedOn w:val="a"/>
    <w:next w:val="a"/>
    <w:rsid w:val="004A56D2"/>
    <w:pPr>
      <w:tabs>
        <w:tab w:val="left" w:pos="1134"/>
      </w:tabs>
      <w:overflowPunct w:val="0"/>
      <w:autoSpaceDE w:val="0"/>
      <w:autoSpaceDN w:val="0"/>
      <w:adjustRightInd w:val="0"/>
      <w:ind w:left="1134" w:hanging="1134"/>
      <w:textAlignment w:val="baseline"/>
    </w:pPr>
    <w:rPr>
      <w:rFonts w:eastAsia="ＭＳ 明朝"/>
      <w:szCs w:val="20"/>
      <w:lang w:val="en-GB" w:eastAsia="ja-JP"/>
    </w:rPr>
  </w:style>
  <w:style w:type="paragraph" w:customStyle="1" w:styleId="Data">
    <w:name w:val="Data"/>
    <w:basedOn w:val="Subject"/>
    <w:next w:val="Subject"/>
    <w:rsid w:val="004A56D2"/>
  </w:style>
  <w:style w:type="paragraph" w:customStyle="1" w:styleId="Table">
    <w:name w:val="Table_#"/>
    <w:basedOn w:val="a"/>
    <w:next w:val="a"/>
    <w:rsid w:val="00726191"/>
    <w:pPr>
      <w:keepNext/>
      <w:tabs>
        <w:tab w:val="left" w:pos="794"/>
        <w:tab w:val="left" w:pos="1191"/>
        <w:tab w:val="left" w:pos="1588"/>
        <w:tab w:val="left" w:pos="1985"/>
      </w:tabs>
      <w:overflowPunct w:val="0"/>
      <w:autoSpaceDE w:val="0"/>
      <w:autoSpaceDN w:val="0"/>
      <w:adjustRightInd w:val="0"/>
      <w:spacing w:before="560" w:after="120"/>
      <w:jc w:val="center"/>
      <w:textAlignment w:val="baseline"/>
    </w:pPr>
    <w:rPr>
      <w:rFonts w:eastAsia="ＭＳ 明朝"/>
      <w:caps/>
      <w:szCs w:val="20"/>
      <w:lang w:val="en-GB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hn\AppData\Local\Microsoft\Windows\INetCache\Content.Outlook\YLO7NAU4\att2Document%20Template%2017R3C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att2Document Template 17R3C.dot</Template>
  <TotalTime>315</TotalTime>
  <Pages>2</Pages>
  <Words>548</Words>
  <Characters>2792</Characters>
  <Application>Microsoft Office Word</Application>
  <DocSecurity>0</DocSecurity>
  <Lines>23</Lines>
  <Paragraphs>6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3334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cp:lastModifiedBy>Yamamoto Ken</cp:lastModifiedBy>
  <cp:revision>7</cp:revision>
  <cp:lastPrinted>2009-02-17T06:56:00Z</cp:lastPrinted>
  <dcterms:created xsi:type="dcterms:W3CDTF">2018-08-04T09:32:00Z</dcterms:created>
  <dcterms:modified xsi:type="dcterms:W3CDTF">2018-08-09T07:07:00Z</dcterms:modified>
</cp:coreProperties>
</file>