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11"/>
        <w:gridCol w:w="6077"/>
        <w:gridCol w:w="1311"/>
      </w:tblGrid>
      <w:tr w:rsidR="006C05A8" w:rsidRPr="0005660E" w14:paraId="4B544E10" w14:textId="77777777" w:rsidTr="0017248C">
        <w:trPr>
          <w:trHeight w:val="1276"/>
        </w:trPr>
        <w:tc>
          <w:tcPr>
            <w:tcW w:w="704" w:type="dxa"/>
          </w:tcPr>
          <w:p w14:paraId="2004E2A0" w14:textId="77777777" w:rsidR="0005660E" w:rsidRPr="0005660E" w:rsidRDefault="000713F5" w:rsidP="004A56D2">
            <w:pPr>
              <w:jc w:val="right"/>
              <w:rPr>
                <w:rFonts w:eastAsia="ＭＳ 明朝"/>
                <w:lang w:eastAsia="ja-JP"/>
              </w:rPr>
            </w:pPr>
            <w:r w:rsidRPr="006C05A8">
              <w:rPr>
                <w:rFonts w:eastAsia="ＭＳ 明朝"/>
                <w:noProof/>
                <w:lang w:val="en-AU" w:eastAsia="en-AU"/>
              </w:rPr>
              <w:drawing>
                <wp:inline distT="0" distB="0" distL="0" distR="0" wp14:anchorId="2C816698" wp14:editId="7B49A850">
                  <wp:extent cx="504825" cy="1000125"/>
                  <wp:effectExtent l="0" t="0" r="0" b="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14:paraId="7676C92C" w14:textId="77777777"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14:paraId="46108DE7" w14:textId="77777777" w:rsidR="004A56D2" w:rsidRDefault="004A56D2" w:rsidP="004A56D2">
            <w:pPr>
              <w:jc w:val="center"/>
              <w:rPr>
                <w:b/>
                <w:smallCaps/>
                <w:sz w:val="30"/>
              </w:rPr>
            </w:pPr>
            <w:r>
              <w:rPr>
                <w:rFonts w:hint="eastAsia"/>
                <w:b/>
                <w:position w:val="6"/>
                <w:sz w:val="30"/>
              </w:rPr>
              <w:t>REGION 3</w:t>
            </w:r>
          </w:p>
          <w:p w14:paraId="0420A692" w14:textId="77777777"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73A2E5BC" w14:textId="77777777" w:rsidR="0005660E" w:rsidRPr="0005660E" w:rsidRDefault="000713F5" w:rsidP="004A56D2">
            <w:pPr>
              <w:jc w:val="right"/>
              <w:rPr>
                <w:rFonts w:eastAsia="ＭＳ 明朝"/>
                <w:lang w:eastAsia="ja-JP"/>
              </w:rPr>
            </w:pPr>
            <w:r w:rsidRPr="006C05A8">
              <w:rPr>
                <w:rFonts w:eastAsia="ＭＳ 明朝"/>
                <w:noProof/>
                <w:lang w:val="en-AU" w:eastAsia="en-AU"/>
              </w:rPr>
              <w:drawing>
                <wp:inline distT="0" distB="0" distL="0" distR="0" wp14:anchorId="53CAEFC2" wp14:editId="2B5CD87E">
                  <wp:extent cx="695325" cy="108585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14:paraId="7C43A3E2" w14:textId="77777777"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14:paraId="49F320C5" w14:textId="77777777" w:rsidR="004A56D2" w:rsidRDefault="004A56D2" w:rsidP="004A56D2">
      <w:pPr>
        <w:pStyle w:val="Data"/>
        <w:rPr>
          <w:sz w:val="20"/>
          <w:lang w:val="en-US"/>
        </w:rPr>
      </w:pPr>
    </w:p>
    <w:p w14:paraId="0F3CEF39" w14:textId="6D3F5A99"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CC5DBD">
        <w:rPr>
          <w:b/>
          <w:lang w:val="en-US"/>
        </w:rPr>
        <w:t>3</w:t>
      </w:r>
      <w:r>
        <w:rPr>
          <w:rFonts w:hint="eastAsia"/>
          <w:b/>
          <w:lang w:val="en-US"/>
        </w:rPr>
        <w:t>0</w:t>
      </w:r>
    </w:p>
    <w:p w14:paraId="2FB22664" w14:textId="13884B17"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CC5DBD">
        <w:rPr>
          <w:b/>
          <w:lang w:val="en-US"/>
        </w:rPr>
        <w:t>11.11</w:t>
      </w:r>
    </w:p>
    <w:p w14:paraId="60778525" w14:textId="77777777" w:rsidR="004A56D2" w:rsidRDefault="004A56D2" w:rsidP="004A56D2">
      <w:pPr>
        <w:pStyle w:val="Subject"/>
        <w:tabs>
          <w:tab w:val="clear" w:pos="1134"/>
        </w:tabs>
        <w:ind w:left="0" w:firstLine="0"/>
        <w:rPr>
          <w:lang w:val="en-US"/>
        </w:rPr>
      </w:pPr>
      <w:bookmarkStart w:id="0" w:name="recibido"/>
      <w:bookmarkEnd w:id="0"/>
    </w:p>
    <w:p w14:paraId="449043D8" w14:textId="12BB7505" w:rsidR="0005660E" w:rsidRDefault="0005660E" w:rsidP="00E801DB">
      <w:pPr>
        <w:jc w:val="center"/>
        <w:rPr>
          <w:rFonts w:eastAsia="ＭＳ 明朝"/>
          <w:lang w:eastAsia="ja-JP"/>
        </w:rPr>
      </w:pPr>
    </w:p>
    <w:p w14:paraId="0C2394E4" w14:textId="77777777" w:rsidR="00B2630C" w:rsidRPr="00B35AA5" w:rsidRDefault="00B2630C" w:rsidP="00B2630C">
      <w:pPr>
        <w:jc w:val="center"/>
        <w:rPr>
          <w:b/>
          <w:sz w:val="28"/>
          <w:szCs w:val="28"/>
        </w:rPr>
      </w:pPr>
      <w:r w:rsidRPr="00B35AA5">
        <w:rPr>
          <w:b/>
          <w:sz w:val="28"/>
          <w:szCs w:val="28"/>
        </w:rPr>
        <w:t>The evolution of spectrum management in the era of hyper-connectivity and its impact on the amateur service</w:t>
      </w:r>
    </w:p>
    <w:p w14:paraId="6732333D" w14:textId="77777777" w:rsidR="00B2630C" w:rsidRDefault="00B2630C" w:rsidP="00B2630C">
      <w:pPr>
        <w:rPr>
          <w:b/>
        </w:rPr>
      </w:pPr>
    </w:p>
    <w:p w14:paraId="279FA383" w14:textId="0BE49EA1" w:rsidR="00B2630C" w:rsidRDefault="00B2630C" w:rsidP="00B2630C">
      <w:pPr>
        <w:rPr>
          <w:b/>
        </w:rPr>
      </w:pPr>
      <w:r w:rsidRPr="00B35AA5">
        <w:rPr>
          <w:b/>
        </w:rPr>
        <w:t>Introduction</w:t>
      </w:r>
      <w:bookmarkStart w:id="1" w:name="_GoBack"/>
      <w:bookmarkEnd w:id="1"/>
    </w:p>
    <w:p w14:paraId="5CA63671" w14:textId="77777777" w:rsidR="00B2630C" w:rsidRPr="00B35AA5" w:rsidRDefault="00B2630C" w:rsidP="00B2630C">
      <w:pPr>
        <w:rPr>
          <w:b/>
        </w:rPr>
      </w:pPr>
    </w:p>
    <w:p w14:paraId="32509475" w14:textId="1AF396D2" w:rsidR="00B2630C" w:rsidRPr="00B35AA5" w:rsidRDefault="00B2630C" w:rsidP="00B2630C">
      <w:r w:rsidRPr="00B35AA5">
        <w:t>This document provides an overview of emerging global changes in the way the radio frequency spectrum may be managed in the future. While the paper uses Australian documents for source material it is highly likely that similar situations are developing in many countries. Much of the context is based upon observations at ITU-R and APG meetings over the last few years and the purpose of the document is to highlight the global challenges that may emerge in coming years with respect to current and future amateur service allocations.</w:t>
      </w:r>
    </w:p>
    <w:p w14:paraId="207EF9F3" w14:textId="77777777" w:rsidR="00B2630C" w:rsidRDefault="00B2630C" w:rsidP="00B2630C">
      <w:pPr>
        <w:rPr>
          <w:b/>
        </w:rPr>
      </w:pPr>
    </w:p>
    <w:p w14:paraId="585C2B5D" w14:textId="42479C0B" w:rsidR="00B2630C" w:rsidRDefault="00B2630C" w:rsidP="00B2630C">
      <w:pPr>
        <w:rPr>
          <w:b/>
        </w:rPr>
      </w:pPr>
      <w:r w:rsidRPr="00B35AA5">
        <w:rPr>
          <w:b/>
        </w:rPr>
        <w:t>The brave new world</w:t>
      </w:r>
    </w:p>
    <w:p w14:paraId="503A37C0" w14:textId="77777777" w:rsidR="00B2630C" w:rsidRPr="00B35AA5" w:rsidRDefault="00B2630C" w:rsidP="00B2630C">
      <w:pPr>
        <w:rPr>
          <w:b/>
        </w:rPr>
      </w:pPr>
    </w:p>
    <w:p w14:paraId="62F866F9" w14:textId="77777777" w:rsidR="00B2630C" w:rsidRPr="00B35AA5" w:rsidRDefault="00B2630C" w:rsidP="00B2630C">
      <w:r w:rsidRPr="00B35AA5">
        <w:t xml:space="preserve">Within our lifetime we are likely to have global broadband access which is universally available at low cost, for example </w:t>
      </w:r>
      <w:hyperlink r:id="rId9" w:history="1">
        <w:r w:rsidRPr="00B35AA5">
          <w:rPr>
            <w:rStyle w:val="ab"/>
          </w:rPr>
          <w:t>Project Loon</w:t>
        </w:r>
      </w:hyperlink>
      <w:r w:rsidRPr="00B35AA5">
        <w:t xml:space="preserve"> is proposing the use of multiple high altitude platforms (balloons) and the </w:t>
      </w:r>
      <w:hyperlink r:id="rId10" w:history="1">
        <w:r w:rsidRPr="00B35AA5">
          <w:rPr>
            <w:rStyle w:val="ab"/>
          </w:rPr>
          <w:t>Starlink</w:t>
        </w:r>
      </w:hyperlink>
      <w:r w:rsidRPr="00B35AA5">
        <w:t xml:space="preserve"> project from SpaceX Inc. will use 4000+ low-earth orbit satellites. When these, or similar projects, are implemented they will enable anyone, anywhere on earth, to be connected to the Internet including the World-Wide Web and to be able to communicate with anyone else or connected ‘thing’ at any time, it will be an era of hyper-connectivity. The investments in infrastructure will be large, but there will be enormous sums of money to be made by those who ‘control’ the radio frequency portion of the electromagnetic spectrum (EM). </w:t>
      </w:r>
    </w:p>
    <w:p w14:paraId="2643BA84" w14:textId="77777777" w:rsidR="00B2630C" w:rsidRDefault="00B2630C" w:rsidP="00B2630C">
      <w:pPr>
        <w:rPr>
          <w:b/>
        </w:rPr>
      </w:pPr>
    </w:p>
    <w:p w14:paraId="6E9356A4" w14:textId="0F571706" w:rsidR="00B2630C" w:rsidRDefault="00B2630C" w:rsidP="00B2630C">
      <w:pPr>
        <w:rPr>
          <w:b/>
        </w:rPr>
      </w:pPr>
      <w:r w:rsidRPr="00B35AA5">
        <w:rPr>
          <w:b/>
        </w:rPr>
        <w:t>Spectrum as a resource</w:t>
      </w:r>
    </w:p>
    <w:p w14:paraId="1B1AF615" w14:textId="77777777" w:rsidR="00B2630C" w:rsidRPr="00B35AA5" w:rsidRDefault="00B2630C" w:rsidP="00B2630C">
      <w:pPr>
        <w:rPr>
          <w:b/>
        </w:rPr>
      </w:pPr>
    </w:p>
    <w:p w14:paraId="256FB8E8" w14:textId="77777777" w:rsidR="00B2630C" w:rsidRPr="00B35AA5" w:rsidRDefault="00B2630C" w:rsidP="00B2630C">
      <w:r w:rsidRPr="00B35AA5">
        <w:t xml:space="preserve">Use of the radio frequency spectrum is now a multi-billion dollar industry; its usage and governance is now becoming to be seen as an economic issue instead of being a technical or engineering issue. In Australia, the recent </w:t>
      </w:r>
      <w:hyperlink r:id="rId11" w:history="1">
        <w:r w:rsidRPr="00B35AA5">
          <w:rPr>
            <w:rStyle w:val="ab"/>
          </w:rPr>
          <w:t>ACMA review</w:t>
        </w:r>
      </w:hyperlink>
      <w:r w:rsidRPr="00B35AA5">
        <w:t xml:space="preserve"> makes this clear and it is a major shift of emphasis: </w:t>
      </w:r>
    </w:p>
    <w:p w14:paraId="4A156257" w14:textId="77777777" w:rsidR="00B2630C" w:rsidRPr="00B35AA5" w:rsidRDefault="00B2630C" w:rsidP="00B2630C">
      <w:r w:rsidRPr="00B35AA5">
        <w:t xml:space="preserve">P30 </w:t>
      </w:r>
    </w:p>
    <w:p w14:paraId="316A7714" w14:textId="77777777" w:rsidR="00B2630C" w:rsidRPr="00B35AA5" w:rsidRDefault="00B2630C" w:rsidP="00B2630C">
      <w:pPr>
        <w:ind w:left="720"/>
      </w:pPr>
      <w:r w:rsidRPr="00B35AA5">
        <w:t xml:space="preserve">“The increasing importance of communications networks to social and economic activity… </w:t>
      </w:r>
    </w:p>
    <w:p w14:paraId="5C66FB14" w14:textId="77777777" w:rsidR="00B2630C" w:rsidRPr="00B35AA5" w:rsidRDefault="00B2630C" w:rsidP="00B2630C">
      <w:pPr>
        <w:ind w:left="720"/>
      </w:pPr>
      <w:r w:rsidRPr="00B35AA5">
        <w:t xml:space="preserve">…Communications networks are vitally important to economic and social activity. These networks enable the delivery of services and applications across the entire economy….  …The emergence of new products and services </w:t>
      </w:r>
      <w:r w:rsidRPr="00B35AA5">
        <w:lastRenderedPageBreak/>
        <w:t>constantly generates questions for policy makers and regulators as to whether consumer or technical issues require intervention or whether they will be resolved by the market.”</w:t>
      </w:r>
    </w:p>
    <w:p w14:paraId="75BB0CAC" w14:textId="77777777" w:rsidR="00B2630C" w:rsidRPr="00B35AA5" w:rsidRDefault="00B2630C" w:rsidP="00B2630C">
      <w:r w:rsidRPr="00B35AA5">
        <w:t>P37</w:t>
      </w:r>
    </w:p>
    <w:p w14:paraId="23E21D98" w14:textId="745F403E" w:rsidR="00B2630C" w:rsidRDefault="00B2630C" w:rsidP="00B2630C">
      <w:pPr>
        <w:ind w:left="720"/>
      </w:pPr>
      <w:r w:rsidRPr="00B35AA5">
        <w:t>“…The WRC has been considered a technical forum and, as such, the ACMA has headed the delegation. However, increasingly, radio regulations have significant implications for use of and investment in spectrum in Australia. In this environment of increasing demand for spectrum, the WRC is transforming from a technical to a policy forum where microeconomic spectrum reform is settled at treaty-level. …”</w:t>
      </w:r>
    </w:p>
    <w:p w14:paraId="053088B5" w14:textId="77777777" w:rsidR="00B2630C" w:rsidRPr="00B35AA5" w:rsidRDefault="00B2630C" w:rsidP="00B2630C">
      <w:pPr>
        <w:ind w:left="720"/>
      </w:pPr>
    </w:p>
    <w:p w14:paraId="3496147B" w14:textId="31F936BC" w:rsidR="00B2630C" w:rsidRDefault="00B2630C" w:rsidP="00B2630C">
      <w:r w:rsidRPr="00B35AA5">
        <w:t>It can be seen that government views on spectrum and its usage are changing and that in the future more attention will be given to non-technical issues e.g. there will policy-based decisions rather than engineering-based decisions. Australia is most likely not alone in this view and we will see future decisions on band allocation driven by economists, policy makers and lawyers instead of engineers. Clearly, the amateur service needs to adapt and we need to be better at demonstrating our value to the community, showing the value we add to the economy and have those values reflected in government policy.</w:t>
      </w:r>
    </w:p>
    <w:p w14:paraId="40B59FDE" w14:textId="77777777" w:rsidR="00B2630C" w:rsidRPr="00B35AA5" w:rsidRDefault="00B2630C" w:rsidP="00B2630C"/>
    <w:p w14:paraId="7C9C785D" w14:textId="12C2CBC3" w:rsidR="00B2630C" w:rsidRDefault="00B2630C" w:rsidP="00B2630C">
      <w:r w:rsidRPr="00B35AA5">
        <w:t xml:space="preserve">Governments see the sale of spectrum as a way to raise much needed money. Recent spectrum sales in Australia have resulted in hundreds of millions of dollars being paid for spectrum. For example, considering recent sales (data from </w:t>
      </w:r>
      <w:hyperlink r:id="rId12" w:history="1">
        <w:r w:rsidRPr="00B35AA5">
          <w:rPr>
            <w:rStyle w:val="ab"/>
          </w:rPr>
          <w:t>ACMA 2017 media release</w:t>
        </w:r>
      </w:hyperlink>
      <w:r w:rsidRPr="00B35AA5">
        <w:t>):</w:t>
      </w:r>
    </w:p>
    <w:p w14:paraId="560FAF96" w14:textId="77777777" w:rsidR="00B2630C" w:rsidRPr="00B35AA5" w:rsidRDefault="00B2630C" w:rsidP="00B2630C"/>
    <w:tbl>
      <w:tblPr>
        <w:tblW w:w="0" w:type="auto"/>
        <w:jc w:val="center"/>
        <w:shd w:val="clear" w:color="auto" w:fill="FFFFFF"/>
        <w:tblCellMar>
          <w:left w:w="0" w:type="dxa"/>
          <w:right w:w="0" w:type="dxa"/>
        </w:tblCellMar>
        <w:tblLook w:val="04A0" w:firstRow="1" w:lastRow="0" w:firstColumn="1" w:lastColumn="0" w:noHBand="0" w:noVBand="1"/>
      </w:tblPr>
      <w:tblGrid>
        <w:gridCol w:w="2267"/>
        <w:gridCol w:w="2047"/>
        <w:gridCol w:w="2167"/>
        <w:gridCol w:w="1860"/>
      </w:tblGrid>
      <w:tr w:rsidR="00B2630C" w:rsidRPr="00B35AA5" w14:paraId="33B10DBA" w14:textId="77777777" w:rsidTr="00384662">
        <w:trPr>
          <w:jc w:val="center"/>
        </w:trPr>
        <w:tc>
          <w:tcPr>
            <w:tcW w:w="0" w:type="auto"/>
            <w:vMerge w:val="restart"/>
            <w:tcBorders>
              <w:top w:val="single" w:sz="6" w:space="0" w:color="AAAAAA"/>
              <w:left w:val="single" w:sz="6" w:space="0" w:color="AAAAAA"/>
              <w:bottom w:val="single" w:sz="6" w:space="0" w:color="AAAAAA"/>
              <w:right w:val="single" w:sz="6" w:space="0" w:color="AAAAAA"/>
            </w:tcBorders>
            <w:shd w:val="clear" w:color="auto" w:fill="FFFFFF"/>
            <w:tcMar>
              <w:top w:w="180" w:type="dxa"/>
              <w:left w:w="180" w:type="dxa"/>
              <w:bottom w:w="180" w:type="dxa"/>
              <w:right w:w="180" w:type="dxa"/>
            </w:tcMar>
            <w:vAlign w:val="center"/>
            <w:hideMark/>
          </w:tcPr>
          <w:p w14:paraId="19C28525" w14:textId="77777777" w:rsidR="00B2630C" w:rsidRPr="00B35AA5" w:rsidRDefault="00B2630C" w:rsidP="00384662">
            <w:pPr>
              <w:spacing w:line="288" w:lineRule="atLeast"/>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FFFFF"/>
            <w:tcMar>
              <w:top w:w="180" w:type="dxa"/>
              <w:left w:w="180" w:type="dxa"/>
              <w:bottom w:w="180" w:type="dxa"/>
              <w:right w:w="180" w:type="dxa"/>
            </w:tcMar>
            <w:vAlign w:val="center"/>
            <w:hideMark/>
          </w:tcPr>
          <w:p w14:paraId="567A8B92" w14:textId="77777777" w:rsidR="00B2630C" w:rsidRPr="00B35AA5" w:rsidRDefault="00B2630C" w:rsidP="00384662">
            <w:pPr>
              <w:spacing w:line="288" w:lineRule="atLeast"/>
              <w:textAlignment w:val="baseline"/>
            </w:pPr>
            <w:r w:rsidRPr="00B35AA5">
              <w:t>Spectrum secured</w:t>
            </w:r>
          </w:p>
        </w:tc>
        <w:tc>
          <w:tcPr>
            <w:tcW w:w="0" w:type="auto"/>
            <w:vMerge w:val="restart"/>
            <w:tcBorders>
              <w:top w:val="single" w:sz="6" w:space="0" w:color="AAAAAA"/>
              <w:left w:val="single" w:sz="6" w:space="0" w:color="AAAAAA"/>
              <w:bottom w:val="single" w:sz="6" w:space="0" w:color="AAAAAA"/>
              <w:right w:val="single" w:sz="6" w:space="0" w:color="AAAAAA"/>
            </w:tcBorders>
            <w:shd w:val="clear" w:color="auto" w:fill="FFFFFF"/>
            <w:tcMar>
              <w:top w:w="180" w:type="dxa"/>
              <w:left w:w="180" w:type="dxa"/>
              <w:bottom w:w="180" w:type="dxa"/>
              <w:right w:w="180" w:type="dxa"/>
            </w:tcMar>
            <w:vAlign w:val="center"/>
            <w:hideMark/>
          </w:tcPr>
          <w:p w14:paraId="3649438B" w14:textId="77777777" w:rsidR="00B2630C" w:rsidRPr="00B35AA5" w:rsidRDefault="00B2630C" w:rsidP="00384662">
            <w:pPr>
              <w:spacing w:line="288" w:lineRule="atLeast"/>
              <w:textAlignment w:val="baseline"/>
            </w:pPr>
            <w:r w:rsidRPr="00B35AA5">
              <w:t>Total price</w:t>
            </w:r>
          </w:p>
        </w:tc>
      </w:tr>
      <w:tr w:rsidR="00B2630C" w:rsidRPr="00B35AA5" w14:paraId="5B5A5324" w14:textId="77777777" w:rsidTr="00384662">
        <w:trPr>
          <w:jc w:val="center"/>
        </w:trPr>
        <w:tc>
          <w:tcPr>
            <w:tcW w:w="0" w:type="auto"/>
            <w:vMerge/>
            <w:tcBorders>
              <w:top w:val="single" w:sz="6" w:space="0" w:color="AAAAAA"/>
              <w:left w:val="single" w:sz="6" w:space="0" w:color="AAAAAA"/>
              <w:bottom w:val="single" w:sz="6" w:space="0" w:color="AAAAAA"/>
              <w:right w:val="single" w:sz="6" w:space="0" w:color="AAAAAA"/>
            </w:tcBorders>
            <w:shd w:val="clear" w:color="auto" w:fill="F4F4F8"/>
            <w:vAlign w:val="bottom"/>
            <w:hideMark/>
          </w:tcPr>
          <w:p w14:paraId="2A68776E" w14:textId="77777777" w:rsidR="00B2630C" w:rsidRPr="00B35AA5" w:rsidRDefault="00B2630C" w:rsidP="00384662"/>
        </w:tc>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04BA8F28" w14:textId="77777777" w:rsidR="00B2630C" w:rsidRPr="00B35AA5" w:rsidRDefault="00B2630C" w:rsidP="00384662">
            <w:pPr>
              <w:spacing w:line="288" w:lineRule="atLeast"/>
              <w:textAlignment w:val="baseline"/>
            </w:pPr>
            <w:r w:rsidRPr="00B35AA5">
              <w:t>700 MHz band*</w:t>
            </w:r>
          </w:p>
        </w:tc>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04129CFE" w14:textId="77777777" w:rsidR="00B2630C" w:rsidRPr="00B35AA5" w:rsidRDefault="00B2630C" w:rsidP="00384662">
            <w:pPr>
              <w:spacing w:line="288" w:lineRule="atLeast"/>
              <w:textAlignment w:val="baseline"/>
            </w:pPr>
            <w:r w:rsidRPr="00B35AA5">
              <w:t>2.5 GHz band*</w:t>
            </w:r>
          </w:p>
        </w:tc>
        <w:tc>
          <w:tcPr>
            <w:tcW w:w="0" w:type="auto"/>
            <w:vMerge/>
            <w:tcBorders>
              <w:top w:val="single" w:sz="6" w:space="0" w:color="AAAAAA"/>
              <w:left w:val="single" w:sz="6" w:space="0" w:color="AAAAAA"/>
              <w:bottom w:val="single" w:sz="6" w:space="0" w:color="AAAAAA"/>
              <w:right w:val="single" w:sz="6" w:space="0" w:color="AAAAAA"/>
            </w:tcBorders>
            <w:shd w:val="clear" w:color="auto" w:fill="F4F4F8"/>
            <w:vAlign w:val="center"/>
            <w:hideMark/>
          </w:tcPr>
          <w:p w14:paraId="591D7D3C" w14:textId="77777777" w:rsidR="00B2630C" w:rsidRPr="00B35AA5" w:rsidRDefault="00B2630C" w:rsidP="00384662"/>
        </w:tc>
      </w:tr>
      <w:tr w:rsidR="00B2630C" w:rsidRPr="00B35AA5" w14:paraId="0E35EFFD" w14:textId="77777777" w:rsidTr="00384662">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33347EF2" w14:textId="77777777" w:rsidR="00B2630C" w:rsidRPr="00B35AA5" w:rsidRDefault="00B2630C" w:rsidP="00384662">
            <w:pPr>
              <w:spacing w:line="288" w:lineRule="atLeast"/>
            </w:pPr>
            <w:r w:rsidRPr="00B35AA5">
              <w:t>Total spectrum sold</w:t>
            </w:r>
          </w:p>
        </w:tc>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7FF6CED8" w14:textId="77777777" w:rsidR="00B2630C" w:rsidRPr="00B35AA5" w:rsidRDefault="00B2630C" w:rsidP="00384662">
            <w:pPr>
              <w:spacing w:line="288" w:lineRule="atLeast"/>
              <w:textAlignment w:val="baseline"/>
            </w:pPr>
            <w:r w:rsidRPr="00B35AA5">
              <w:t>2×30 MHz</w:t>
            </w:r>
          </w:p>
          <w:p w14:paraId="3A6A38DE" w14:textId="77777777" w:rsidR="00B2630C" w:rsidRPr="00B35AA5" w:rsidRDefault="00B2630C" w:rsidP="00384662">
            <w:pPr>
              <w:spacing w:line="288" w:lineRule="atLeast"/>
              <w:textAlignment w:val="baseline"/>
            </w:pPr>
            <w:r w:rsidRPr="00B35AA5">
              <w:t>(60 MHz in total)</w:t>
            </w:r>
          </w:p>
        </w:tc>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181474FE" w14:textId="77777777" w:rsidR="00B2630C" w:rsidRPr="00B35AA5" w:rsidRDefault="00B2630C" w:rsidP="00384662">
            <w:pPr>
              <w:spacing w:line="288" w:lineRule="atLeast"/>
              <w:textAlignment w:val="baseline"/>
            </w:pPr>
            <w:r w:rsidRPr="00B35AA5">
              <w:t>2×70 MHz</w:t>
            </w:r>
          </w:p>
          <w:p w14:paraId="63D8EDAB" w14:textId="77777777" w:rsidR="00B2630C" w:rsidRPr="00B35AA5" w:rsidRDefault="00B2630C" w:rsidP="00384662">
            <w:pPr>
              <w:spacing w:line="288" w:lineRule="atLeast"/>
              <w:textAlignment w:val="baseline"/>
            </w:pPr>
            <w:r w:rsidRPr="00B35AA5">
              <w:t>(140 MHz in total)</w:t>
            </w:r>
          </w:p>
        </w:tc>
        <w:tc>
          <w:tcPr>
            <w:tcW w:w="0" w:type="auto"/>
            <w:tcBorders>
              <w:top w:val="single" w:sz="6" w:space="0" w:color="AAAAAA"/>
              <w:left w:val="single" w:sz="6" w:space="0" w:color="AAAAAA"/>
              <w:bottom w:val="single" w:sz="6" w:space="0" w:color="AAAAAA"/>
              <w:right w:val="single" w:sz="6" w:space="0" w:color="AAAAAA"/>
            </w:tcBorders>
            <w:shd w:val="clear" w:color="auto" w:fill="F4F4F8"/>
            <w:tcMar>
              <w:top w:w="180" w:type="dxa"/>
              <w:left w:w="180" w:type="dxa"/>
              <w:bottom w:w="180" w:type="dxa"/>
              <w:right w:w="180" w:type="dxa"/>
            </w:tcMar>
            <w:vAlign w:val="center"/>
            <w:hideMark/>
          </w:tcPr>
          <w:p w14:paraId="14229835" w14:textId="77777777" w:rsidR="00B2630C" w:rsidRPr="00B35AA5" w:rsidRDefault="00B2630C" w:rsidP="00384662">
            <w:pPr>
              <w:spacing w:line="288" w:lineRule="atLeast"/>
              <w:textAlignment w:val="baseline"/>
            </w:pPr>
            <w:r w:rsidRPr="00B35AA5">
              <w:t>$1,964,653,401</w:t>
            </w:r>
          </w:p>
        </w:tc>
      </w:tr>
    </w:tbl>
    <w:p w14:paraId="4644825E" w14:textId="77777777" w:rsidR="00B2630C" w:rsidRPr="00B35AA5" w:rsidRDefault="00B2630C" w:rsidP="00B2630C"/>
    <w:p w14:paraId="6DB9703D" w14:textId="53952139" w:rsidR="00B2630C" w:rsidRDefault="00B2630C" w:rsidP="00B2630C">
      <w:r w:rsidRPr="00B35AA5">
        <w:t xml:space="preserve">If we use the reserve value of </w:t>
      </w:r>
      <w:hyperlink r:id="rId13" w:history="1">
        <w:r w:rsidRPr="00B35AA5">
          <w:rPr>
            <w:rStyle w:val="ab"/>
          </w:rPr>
          <w:t>$1.25/MHz/pop</w:t>
        </w:r>
      </w:hyperlink>
      <w:r w:rsidRPr="00B35AA5">
        <w:t xml:space="preserve"> as a basis for pricing, the Australian 2 m band is potentially worth ~AUD 125,000,000. Because of the increasing value of the radio frequency spectrum it’s highly likely that </w:t>
      </w:r>
      <w:r w:rsidR="00FC2852">
        <w:t>i</w:t>
      </w:r>
      <w:r w:rsidR="00FC2852" w:rsidRPr="00B35AA5">
        <w:t xml:space="preserve">n </w:t>
      </w:r>
      <w:r w:rsidRPr="00B35AA5">
        <w:t>the future amateurs will have to provide more justification of needs for any new bands and, potentially, much greater justification will be required for retention of our existing band allocations.</w:t>
      </w:r>
    </w:p>
    <w:p w14:paraId="4D4A3899" w14:textId="32CFECBA" w:rsidR="00B2630C" w:rsidRPr="00B35AA5" w:rsidRDefault="00B2630C" w:rsidP="00B2630C">
      <w:r w:rsidRPr="00B35AA5">
        <w:t xml:space="preserve"> </w:t>
      </w:r>
    </w:p>
    <w:p w14:paraId="336A275D" w14:textId="7E13B7BD" w:rsidR="00B2630C" w:rsidRDefault="00B2630C" w:rsidP="00B2630C">
      <w:pPr>
        <w:rPr>
          <w:b/>
        </w:rPr>
      </w:pPr>
      <w:r w:rsidRPr="00B35AA5">
        <w:rPr>
          <w:b/>
        </w:rPr>
        <w:t>World Radiocommunications Conferences and work towards them</w:t>
      </w:r>
    </w:p>
    <w:p w14:paraId="557CB6EF" w14:textId="77777777" w:rsidR="00B2630C" w:rsidRPr="00B35AA5" w:rsidRDefault="00B2630C" w:rsidP="00B2630C">
      <w:pPr>
        <w:rPr>
          <w:b/>
        </w:rPr>
      </w:pPr>
    </w:p>
    <w:p w14:paraId="0A74F634" w14:textId="77777777" w:rsidR="00B2630C" w:rsidRPr="00B35AA5" w:rsidRDefault="00B2630C" w:rsidP="00B2630C">
      <w:r w:rsidRPr="00B35AA5">
        <w:t xml:space="preserve">The 2019 </w:t>
      </w:r>
      <w:hyperlink r:id="rId14" w:history="1">
        <w:r w:rsidRPr="00B35AA5">
          <w:rPr>
            <w:rStyle w:val="ab"/>
          </w:rPr>
          <w:t>World Radiocommunication Conference</w:t>
        </w:r>
      </w:hyperlink>
      <w:r w:rsidRPr="00B35AA5">
        <w:t xml:space="preserve">  will decide on any changes that might be made to the Radio Regulations. Changes are made by way of agenda items (AI) which cover specific services and frequency bands. Recent AIs of relevance to amateurs were WRC-12 AI 1.23 which resulted in the 630 m band, WRC-15 AI 1.4 which resulted in the 60 m band. WRC-19 has AI 1.1 which is for a 6 m allocation in ITU-R Region 1. What relevance does this have to amateurs in Region 3?</w:t>
      </w:r>
    </w:p>
    <w:p w14:paraId="4415CD15" w14:textId="2C82D09B" w:rsidR="00B2630C" w:rsidRDefault="00B2630C" w:rsidP="00B2630C">
      <w:r w:rsidRPr="00B35AA5">
        <w:t xml:space="preserve">During the last two WRCs the proposed new amateur allocations were fiercely opposed by many administrations and the amateur service was lucky to get two small allocations following very lengthy and difficult discussions. The opposition is largely around “why do you need another band?”, “the bands you have aren’t being used”, etc. The old fall back of “emergency communications” is no longer seen as an adequate reason so we need more relevant reasons to get any new bands, and going into the future, </w:t>
      </w:r>
      <w:r w:rsidRPr="00B35AA5">
        <w:rPr>
          <w:i/>
        </w:rPr>
        <w:t>to maintain access to our existing bands</w:t>
      </w:r>
      <w:r w:rsidRPr="00B35AA5">
        <w:t>.</w:t>
      </w:r>
    </w:p>
    <w:p w14:paraId="3189A5B9" w14:textId="77777777" w:rsidR="00B2630C" w:rsidRPr="00B35AA5" w:rsidRDefault="00B2630C" w:rsidP="00B2630C"/>
    <w:p w14:paraId="13696E35" w14:textId="1B28793A" w:rsidR="00B2630C" w:rsidRDefault="00B2630C" w:rsidP="00B2630C">
      <w:r w:rsidRPr="00B35AA5">
        <w:t xml:space="preserve">Preparation for each WRC is done on national, regional and global levels. The </w:t>
      </w:r>
      <w:hyperlink r:id="rId15" w:history="1">
        <w:r w:rsidRPr="00B35AA5">
          <w:rPr>
            <w:rStyle w:val="ab"/>
          </w:rPr>
          <w:t>Australian WRC Preparatory Group</w:t>
        </w:r>
      </w:hyperlink>
      <w:r w:rsidRPr="00B35AA5">
        <w:t xml:space="preserve"> brings together representatives of all Australian radiocommunications services and major </w:t>
      </w:r>
      <w:r w:rsidR="00FC2852">
        <w:t xml:space="preserve">spectrum </w:t>
      </w:r>
      <w:r w:rsidRPr="00B35AA5">
        <w:t xml:space="preserve">users so that WRC AIs are discussed and a national consensus position agreed upon. Many other countries have similar processes and many national amateur societies have operated in that space for many years. Similarly for the regional meetings; relevant to ITU Region 3 is the </w:t>
      </w:r>
      <w:hyperlink r:id="rId16" w:history="1">
        <w:r w:rsidRPr="00B35AA5">
          <w:rPr>
            <w:rStyle w:val="ab"/>
          </w:rPr>
          <w:t>Asia-Pacific Telecommunity WRC Preparatory Group</w:t>
        </w:r>
      </w:hyperlink>
      <w:r w:rsidRPr="00B35AA5">
        <w:t xml:space="preserve"> (APG) which meets to develop regional consensus positions of all WRC AIs. ITU-R </w:t>
      </w:r>
      <w:hyperlink r:id="rId17" w:history="1">
        <w:r w:rsidRPr="00B35AA5">
          <w:rPr>
            <w:rStyle w:val="ab"/>
          </w:rPr>
          <w:t>Study Groups</w:t>
        </w:r>
      </w:hyperlink>
      <w:r w:rsidRPr="00B35AA5">
        <w:t xml:space="preserve">, Working Parties (specifically </w:t>
      </w:r>
      <w:hyperlink r:id="rId18" w:history="1">
        <w:r w:rsidRPr="00B35AA5">
          <w:rPr>
            <w:rStyle w:val="ab"/>
          </w:rPr>
          <w:t>WP5A</w:t>
        </w:r>
      </w:hyperlink>
      <w:r w:rsidRPr="00B35AA5">
        <w:t xml:space="preserve"> for amateur issues) and </w:t>
      </w:r>
      <w:hyperlink r:id="rId19" w:history="1">
        <w:r w:rsidRPr="00B35AA5">
          <w:rPr>
            <w:rStyle w:val="ab"/>
          </w:rPr>
          <w:t>Conference Preparatory Meetings</w:t>
        </w:r>
      </w:hyperlink>
      <w:r w:rsidRPr="00B35AA5">
        <w:t xml:space="preserve"> undertake the necessary sharing and compatibility studies for AIs and create draft regulatory text to address each AI. This process has worked well for many years, however for Australia the recent ACMA review foreshadows some changes that may affect our ability to continue in the same way. So there are some more possible future implications to consider…</w:t>
      </w:r>
    </w:p>
    <w:p w14:paraId="1B372C6B" w14:textId="77777777" w:rsidR="00B2630C" w:rsidRPr="00B35AA5" w:rsidRDefault="00B2630C" w:rsidP="00B2630C"/>
    <w:p w14:paraId="4EB596FC" w14:textId="2EAFB49A" w:rsidR="00B2630C" w:rsidRDefault="00B2630C" w:rsidP="00B2630C">
      <w:pPr>
        <w:rPr>
          <w:b/>
        </w:rPr>
      </w:pPr>
      <w:r w:rsidRPr="00B35AA5">
        <w:rPr>
          <w:b/>
        </w:rPr>
        <w:t>Estimation (justification) of spectrum needs</w:t>
      </w:r>
    </w:p>
    <w:p w14:paraId="25B04679" w14:textId="77777777" w:rsidR="00B2630C" w:rsidRPr="00B35AA5" w:rsidRDefault="00B2630C" w:rsidP="00B2630C">
      <w:pPr>
        <w:rPr>
          <w:b/>
        </w:rPr>
      </w:pPr>
    </w:p>
    <w:p w14:paraId="276E1013" w14:textId="77777777" w:rsidR="00B2630C" w:rsidRDefault="00B2630C" w:rsidP="00B2630C">
      <w:r w:rsidRPr="00B35AA5">
        <w:t xml:space="preserve">Recent work in ITU-R Working Party 5A on WRC-19 AI 1.1 has been very complicated; there has been extensive computer modelling of likely interference between amateur stations, broadcasting (TV) and the mobile service (mainly military). Additionally, the amateur service has been required to quantify spectrum needs and an ‘applications based method’ of calculation has been developed to model the spectrum required by the amateur service in the 50 – 54 MHz frequency band. The method is based on traffic analysis and has been used for previous non-amateur WRC agenda items. This is a significant change to previous amateur specific agenda items of previous WRCs where much less rigorous arguments were accepted. </w:t>
      </w:r>
    </w:p>
    <w:p w14:paraId="79019408" w14:textId="77777777" w:rsidR="00FC2852" w:rsidRPr="00B35AA5" w:rsidRDefault="00FC2852" w:rsidP="00B2630C"/>
    <w:p w14:paraId="446B6A2A" w14:textId="77777777" w:rsidR="00B2630C" w:rsidRPr="00B35AA5" w:rsidRDefault="00B2630C" w:rsidP="00B2630C">
      <w:pPr>
        <w:spacing w:after="120"/>
      </w:pPr>
      <w:r w:rsidRPr="00B35AA5">
        <w:t>The applications based method estimates the required spectrum by using the following input parameters:</w:t>
      </w:r>
    </w:p>
    <w:p w14:paraId="67D4AF1D" w14:textId="77777777" w:rsidR="00B2630C" w:rsidRPr="00B35AA5" w:rsidRDefault="00B2630C" w:rsidP="00B2630C">
      <w:pPr>
        <w:pStyle w:val="ac"/>
        <w:numPr>
          <w:ilvl w:val="0"/>
          <w:numId w:val="9"/>
        </w:numPr>
        <w:rPr>
          <w:rFonts w:ascii="Times New Roman" w:hAnsi="Times New Roman" w:cs="Times New Roman"/>
          <w:sz w:val="24"/>
          <w:szCs w:val="24"/>
          <w:lang w:val="en-US"/>
        </w:rPr>
      </w:pPr>
      <w:r w:rsidRPr="00B35AA5">
        <w:rPr>
          <w:rFonts w:ascii="Times New Roman" w:hAnsi="Times New Roman" w:cs="Times New Roman"/>
          <w:sz w:val="24"/>
          <w:szCs w:val="24"/>
          <w:lang w:val="en-US"/>
        </w:rPr>
        <w:t>Density of amateur stations in given area (</w:t>
      </w:r>
      <w:r w:rsidRPr="00B35AA5">
        <w:rPr>
          <w:rFonts w:ascii="Times New Roman" w:hAnsi="Times New Roman" w:cs="Times New Roman"/>
          <w:i/>
          <w:sz w:val="24"/>
          <w:szCs w:val="24"/>
          <w:lang w:val="en-US"/>
        </w:rPr>
        <w:t>D</w:t>
      </w:r>
      <w:r w:rsidRPr="00B35AA5">
        <w:rPr>
          <w:rFonts w:ascii="Times New Roman" w:hAnsi="Times New Roman" w:cs="Times New Roman"/>
          <w:sz w:val="24"/>
          <w:szCs w:val="24"/>
          <w:lang w:val="en-US"/>
        </w:rPr>
        <w:t>)</w:t>
      </w:r>
    </w:p>
    <w:p w14:paraId="654ECDEA" w14:textId="77777777" w:rsidR="00B2630C" w:rsidRPr="00B35AA5" w:rsidRDefault="00B2630C" w:rsidP="00B2630C">
      <w:pPr>
        <w:pStyle w:val="ac"/>
        <w:numPr>
          <w:ilvl w:val="0"/>
          <w:numId w:val="9"/>
        </w:numPr>
        <w:rPr>
          <w:rFonts w:ascii="Times New Roman" w:hAnsi="Times New Roman" w:cs="Times New Roman"/>
          <w:sz w:val="24"/>
          <w:szCs w:val="24"/>
          <w:lang w:val="en-US"/>
        </w:rPr>
      </w:pPr>
      <w:r w:rsidRPr="00B35AA5">
        <w:rPr>
          <w:rFonts w:ascii="Times New Roman" w:hAnsi="Times New Roman" w:cs="Times New Roman"/>
          <w:sz w:val="24"/>
          <w:szCs w:val="24"/>
          <w:lang w:val="en-US"/>
        </w:rPr>
        <w:t>Application (transmission mode) service area (</w:t>
      </w:r>
      <w:r w:rsidRPr="00B35AA5">
        <w:rPr>
          <w:rFonts w:ascii="Times New Roman" w:hAnsi="Times New Roman" w:cs="Times New Roman"/>
          <w:i/>
          <w:sz w:val="24"/>
          <w:szCs w:val="24"/>
          <w:lang w:val="en-US"/>
        </w:rPr>
        <w:t>A</w:t>
      </w:r>
      <w:r w:rsidRPr="00B35AA5">
        <w:rPr>
          <w:rFonts w:ascii="Times New Roman" w:hAnsi="Times New Roman" w:cs="Times New Roman"/>
          <w:sz w:val="24"/>
          <w:szCs w:val="24"/>
          <w:lang w:val="en-US"/>
        </w:rPr>
        <w:t>) calculated from usable operating range</w:t>
      </w:r>
    </w:p>
    <w:p w14:paraId="1B3E76CE" w14:textId="4C98E13B" w:rsidR="00B2630C" w:rsidRPr="00B35AA5" w:rsidRDefault="00B2630C" w:rsidP="00B2630C">
      <w:pPr>
        <w:pStyle w:val="ac"/>
        <w:numPr>
          <w:ilvl w:val="0"/>
          <w:numId w:val="9"/>
        </w:numPr>
        <w:rPr>
          <w:rFonts w:ascii="Times New Roman" w:hAnsi="Times New Roman" w:cs="Times New Roman"/>
          <w:sz w:val="24"/>
          <w:szCs w:val="24"/>
          <w:lang w:val="en-US"/>
        </w:rPr>
      </w:pPr>
      <w:r w:rsidRPr="00B35AA5">
        <w:rPr>
          <w:rFonts w:ascii="Times New Roman" w:hAnsi="Times New Roman" w:cs="Times New Roman"/>
          <w:sz w:val="24"/>
          <w:szCs w:val="24"/>
          <w:lang w:val="en-US"/>
        </w:rPr>
        <w:t>Operating mode bandwidth: SSB, FM, digital, etc</w:t>
      </w:r>
      <w:r w:rsidR="00FC2852">
        <w:rPr>
          <w:rFonts w:ascii="Times New Roman" w:hAnsi="Times New Roman" w:cs="Times New Roman"/>
          <w:sz w:val="24"/>
          <w:szCs w:val="24"/>
          <w:lang w:val="en-US"/>
        </w:rPr>
        <w:t>.</w:t>
      </w:r>
      <w:r w:rsidRPr="00B35AA5">
        <w:rPr>
          <w:rFonts w:ascii="Times New Roman" w:hAnsi="Times New Roman" w:cs="Times New Roman"/>
          <w:sz w:val="24"/>
          <w:szCs w:val="24"/>
          <w:lang w:val="en-US"/>
        </w:rPr>
        <w:t xml:space="preserve"> (</w:t>
      </w:r>
      <w:r w:rsidRPr="00B35AA5">
        <w:rPr>
          <w:rFonts w:ascii="Times New Roman" w:hAnsi="Times New Roman" w:cs="Times New Roman"/>
          <w:i/>
          <w:sz w:val="24"/>
          <w:szCs w:val="24"/>
          <w:lang w:val="en-US"/>
        </w:rPr>
        <w:t>B</w:t>
      </w:r>
      <w:r w:rsidRPr="00B35AA5">
        <w:rPr>
          <w:rFonts w:ascii="Times New Roman" w:hAnsi="Times New Roman" w:cs="Times New Roman"/>
          <w:i/>
          <w:sz w:val="24"/>
          <w:szCs w:val="24"/>
          <w:vertAlign w:val="subscript"/>
          <w:lang w:val="en-US"/>
        </w:rPr>
        <w:t>n</w:t>
      </w:r>
      <w:r w:rsidRPr="00B35AA5">
        <w:rPr>
          <w:rFonts w:ascii="Times New Roman" w:hAnsi="Times New Roman" w:cs="Times New Roman"/>
          <w:sz w:val="24"/>
          <w:szCs w:val="24"/>
          <w:lang w:val="en-US"/>
        </w:rPr>
        <w:t>)</w:t>
      </w:r>
    </w:p>
    <w:p w14:paraId="46608CC9" w14:textId="77777777" w:rsidR="00B2630C" w:rsidRPr="00B35AA5" w:rsidRDefault="00B2630C" w:rsidP="00B2630C">
      <w:pPr>
        <w:pStyle w:val="ac"/>
        <w:numPr>
          <w:ilvl w:val="0"/>
          <w:numId w:val="9"/>
        </w:numPr>
        <w:rPr>
          <w:rFonts w:ascii="Times New Roman" w:hAnsi="Times New Roman" w:cs="Times New Roman"/>
          <w:sz w:val="24"/>
          <w:szCs w:val="24"/>
          <w:lang w:val="en-US"/>
        </w:rPr>
      </w:pPr>
      <w:r w:rsidRPr="00B35AA5">
        <w:rPr>
          <w:rFonts w:ascii="Times New Roman" w:hAnsi="Times New Roman" w:cs="Times New Roman"/>
          <w:sz w:val="24"/>
          <w:szCs w:val="24"/>
          <w:lang w:val="en-US"/>
        </w:rPr>
        <w:t>Fraction of amateurs using the band and mode (</w:t>
      </w:r>
      <w:proofErr w:type="spellStart"/>
      <w:r w:rsidRPr="00B35AA5">
        <w:rPr>
          <w:rFonts w:ascii="Times New Roman" w:hAnsi="Times New Roman" w:cs="Times New Roman"/>
          <w:i/>
          <w:sz w:val="24"/>
          <w:szCs w:val="24"/>
          <w:lang w:val="en-US"/>
        </w:rPr>
        <w:t>N</w:t>
      </w:r>
      <w:r w:rsidRPr="00B35AA5">
        <w:rPr>
          <w:rFonts w:ascii="Times New Roman" w:hAnsi="Times New Roman" w:cs="Times New Roman"/>
          <w:i/>
          <w:sz w:val="24"/>
          <w:szCs w:val="24"/>
          <w:vertAlign w:val="subscript"/>
          <w:lang w:val="en-US"/>
        </w:rPr>
        <w:t>n</w:t>
      </w:r>
      <w:proofErr w:type="spellEnd"/>
      <w:r w:rsidRPr="00B35AA5">
        <w:rPr>
          <w:rFonts w:ascii="Times New Roman" w:hAnsi="Times New Roman" w:cs="Times New Roman"/>
          <w:sz w:val="24"/>
          <w:szCs w:val="24"/>
          <w:lang w:val="en-US"/>
        </w:rPr>
        <w:t>) considered over a relevant time period</w:t>
      </w:r>
    </w:p>
    <w:p w14:paraId="0105CD98" w14:textId="77777777" w:rsidR="00B2630C" w:rsidRPr="00B35AA5" w:rsidRDefault="00B2630C" w:rsidP="00B2630C">
      <w:pPr>
        <w:pStyle w:val="ac"/>
        <w:numPr>
          <w:ilvl w:val="0"/>
          <w:numId w:val="9"/>
        </w:numPr>
        <w:rPr>
          <w:rFonts w:ascii="Times New Roman" w:hAnsi="Times New Roman" w:cs="Times New Roman"/>
          <w:sz w:val="24"/>
          <w:szCs w:val="24"/>
          <w:lang w:val="en-US"/>
        </w:rPr>
      </w:pPr>
      <w:r w:rsidRPr="00B35AA5">
        <w:rPr>
          <w:rFonts w:ascii="Times New Roman" w:hAnsi="Times New Roman" w:cs="Times New Roman"/>
          <w:sz w:val="24"/>
          <w:szCs w:val="24"/>
          <w:lang w:val="en-US"/>
        </w:rPr>
        <w:t>Fraction of time station is transmitting (</w:t>
      </w:r>
      <w:r w:rsidRPr="00B35AA5">
        <w:rPr>
          <w:rFonts w:ascii="Times New Roman" w:hAnsi="Times New Roman" w:cs="Times New Roman"/>
          <w:i/>
          <w:sz w:val="24"/>
          <w:szCs w:val="24"/>
          <w:lang w:val="en-US"/>
        </w:rPr>
        <w:t>T</w:t>
      </w:r>
      <w:r w:rsidRPr="00B35AA5">
        <w:rPr>
          <w:rFonts w:ascii="Times New Roman" w:hAnsi="Times New Roman" w:cs="Times New Roman"/>
          <w:i/>
          <w:sz w:val="24"/>
          <w:szCs w:val="24"/>
          <w:vertAlign w:val="subscript"/>
          <w:lang w:val="en-US"/>
        </w:rPr>
        <w:t>n</w:t>
      </w:r>
      <w:r w:rsidRPr="00B35AA5">
        <w:rPr>
          <w:rFonts w:ascii="Times New Roman" w:hAnsi="Times New Roman" w:cs="Times New Roman"/>
          <w:sz w:val="24"/>
          <w:szCs w:val="24"/>
          <w:lang w:val="en-US"/>
        </w:rPr>
        <w:t>) considered over a relevant time period.</w:t>
      </w:r>
    </w:p>
    <w:p w14:paraId="56ACFA23" w14:textId="77777777" w:rsidR="00B2630C" w:rsidRPr="00B35AA5" w:rsidRDefault="00B2630C" w:rsidP="00B2630C">
      <w:pPr>
        <w:spacing w:after="120"/>
      </w:pPr>
      <w:r w:rsidRPr="00B35AA5">
        <w:t>The total required spectrum (</w:t>
      </w:r>
      <w:r w:rsidRPr="00B35AA5">
        <w:rPr>
          <w:i/>
        </w:rPr>
        <w:t>S</w:t>
      </w:r>
      <w:r w:rsidRPr="00B35AA5">
        <w:t xml:space="preserve">) for </w:t>
      </w:r>
      <w:r w:rsidRPr="00B35AA5">
        <w:rPr>
          <w:i/>
        </w:rPr>
        <w:t>n</w:t>
      </w:r>
      <w:r w:rsidRPr="00B35AA5">
        <w:t xml:space="preserve"> different applications is estimated by:</w:t>
      </w:r>
    </w:p>
    <w:p w14:paraId="4504FA37" w14:textId="77777777" w:rsidR="00B2630C" w:rsidRPr="00B35AA5" w:rsidRDefault="00B2630C" w:rsidP="00B2630C">
      <w:pPr>
        <w:pStyle w:val="ac"/>
        <w:rPr>
          <w:rFonts w:ascii="Times New Roman" w:hAnsi="Times New Roman" w:cs="Times New Roman"/>
          <w:sz w:val="24"/>
          <w:szCs w:val="24"/>
          <w:lang w:val="en-US"/>
        </w:rPr>
      </w:pPr>
      <m:oMathPara>
        <m:oMathParaPr>
          <m:jc m:val="center"/>
        </m:oMathParaPr>
        <m:oMath>
          <m:r>
            <w:rPr>
              <w:rFonts w:ascii="Cambria Math" w:hAnsi="Cambria Math" w:cs="Times New Roman"/>
              <w:sz w:val="24"/>
              <w:szCs w:val="24"/>
              <w:lang w:val="en-US"/>
            </w:rPr>
            <m:t>S=</m:t>
          </m:r>
          <m:nary>
            <m:naryPr>
              <m:chr m:val="∑"/>
              <m:limLoc m:val="undOvr"/>
              <m:supHide m:val="1"/>
              <m:ctrlPr>
                <w:rPr>
                  <w:rFonts w:ascii="Cambria Math" w:hAnsi="Cambria Math" w:cs="Times New Roman"/>
                  <w:i/>
                  <w:sz w:val="24"/>
                  <w:szCs w:val="24"/>
                  <w:lang w:val="en-US"/>
                </w:rPr>
              </m:ctrlPr>
            </m:naryPr>
            <m:sub>
              <m:r>
                <w:rPr>
                  <w:rFonts w:ascii="Cambria Math" w:hAnsi="Cambria Math" w:cs="Times New Roman"/>
                  <w:sz w:val="24"/>
                  <w:szCs w:val="24"/>
                  <w:lang w:val="en-US"/>
                </w:rPr>
                <m:t>n</m:t>
              </m:r>
            </m:sub>
            <m:sup/>
            <m:e>
              <m:r>
                <w:rPr>
                  <w:rFonts w:ascii="Cambria Math" w:hAnsi="Cambria Math" w:cs="Times New Roman"/>
                  <w:sz w:val="24"/>
                  <w:szCs w:val="24"/>
                  <w:lang w:val="en-US"/>
                </w:rPr>
                <m:t>D×A×</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n</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n</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T</m:t>
                  </m:r>
                </m:e>
                <m:sub>
                  <m:r>
                    <w:rPr>
                      <w:rFonts w:ascii="Cambria Math" w:hAnsi="Cambria Math" w:cs="Times New Roman"/>
                      <w:sz w:val="24"/>
                      <w:szCs w:val="24"/>
                      <w:lang w:val="en-US"/>
                    </w:rPr>
                    <m:t>n</m:t>
                  </m:r>
                </m:sub>
              </m:sSub>
            </m:e>
          </m:nary>
        </m:oMath>
      </m:oMathPara>
    </w:p>
    <w:p w14:paraId="6AFFEBB1" w14:textId="77777777" w:rsidR="00B2630C" w:rsidRDefault="00B2630C" w:rsidP="00B2630C">
      <w:r w:rsidRPr="00B35AA5">
        <w:t>As part of the calculations, the spectrum required for each mode is rounded up to next highest integer multiple of the application bandwidth and the total sum of the spectrum required for each application gives the average spectrum required over the analysis time period.</w:t>
      </w:r>
    </w:p>
    <w:p w14:paraId="200564AF" w14:textId="77777777" w:rsidR="00FC2852" w:rsidRPr="00B35AA5" w:rsidRDefault="00FC2852" w:rsidP="00B2630C"/>
    <w:p w14:paraId="7701CBBA" w14:textId="768C5137" w:rsidR="00B2630C" w:rsidRDefault="00B2630C" w:rsidP="00B2630C">
      <w:r w:rsidRPr="00B35AA5">
        <w:t>Based on this technique a spreadsheet was developed for WRC-19 agenda item 1.1 which provides spectrum estimates for a possible 6 m allocation in the 50 – 54 MHz frequency band in ITU Region 1 based on the yearly average needs. For the following input parameters and using the average amateur population density in Europe (0.07 amateurs/km</w:t>
      </w:r>
      <w:r w:rsidRPr="00B35AA5">
        <w:rPr>
          <w:vertAlign w:val="superscript"/>
        </w:rPr>
        <w:t>2</w:t>
      </w:r>
      <w:r w:rsidRPr="00B35AA5">
        <w:t>) the spectrum required is just over 4 MHz:</w:t>
      </w:r>
    </w:p>
    <w:p w14:paraId="0014B334" w14:textId="77777777" w:rsidR="00B2630C" w:rsidRPr="00B35AA5" w:rsidRDefault="00B2630C" w:rsidP="00B2630C"/>
    <w:tbl>
      <w:tblPr>
        <w:tblStyle w:val="aa"/>
        <w:tblW w:w="0" w:type="auto"/>
        <w:tblLook w:val="04A0" w:firstRow="1" w:lastRow="0" w:firstColumn="1" w:lastColumn="0" w:noHBand="0" w:noVBand="1"/>
      </w:tblPr>
      <w:tblGrid>
        <w:gridCol w:w="1848"/>
        <w:gridCol w:w="1733"/>
        <w:gridCol w:w="1756"/>
        <w:gridCol w:w="1468"/>
        <w:gridCol w:w="1692"/>
      </w:tblGrid>
      <w:tr w:rsidR="00B2630C" w:rsidRPr="00B35AA5" w14:paraId="48A526FC" w14:textId="77777777" w:rsidTr="00384662">
        <w:tc>
          <w:tcPr>
            <w:tcW w:w="1917" w:type="dxa"/>
          </w:tcPr>
          <w:p w14:paraId="1AF1841A" w14:textId="77777777" w:rsidR="00B2630C" w:rsidRPr="00B35AA5" w:rsidRDefault="00B2630C" w:rsidP="00384662">
            <w:pPr>
              <w:jc w:val="center"/>
              <w:rPr>
                <w:b/>
              </w:rPr>
            </w:pPr>
            <w:r w:rsidRPr="00B35AA5">
              <w:rPr>
                <w:b/>
              </w:rPr>
              <w:t>Application</w:t>
            </w:r>
          </w:p>
        </w:tc>
        <w:tc>
          <w:tcPr>
            <w:tcW w:w="1906" w:type="dxa"/>
          </w:tcPr>
          <w:p w14:paraId="3E6591B8" w14:textId="77777777" w:rsidR="00B2630C" w:rsidRPr="00B35AA5" w:rsidRDefault="00B2630C" w:rsidP="00384662">
            <w:pPr>
              <w:jc w:val="center"/>
              <w:rPr>
                <w:b/>
              </w:rPr>
            </w:pPr>
            <w:r w:rsidRPr="00B35AA5">
              <w:rPr>
                <w:b/>
              </w:rPr>
              <w:t>Usable range (km)</w:t>
            </w:r>
          </w:p>
        </w:tc>
        <w:tc>
          <w:tcPr>
            <w:tcW w:w="1842" w:type="dxa"/>
          </w:tcPr>
          <w:p w14:paraId="59940321" w14:textId="77777777" w:rsidR="00B2630C" w:rsidRPr="00B35AA5" w:rsidRDefault="00B2630C" w:rsidP="00384662">
            <w:pPr>
              <w:jc w:val="center"/>
              <w:rPr>
                <w:b/>
              </w:rPr>
            </w:pPr>
            <w:r w:rsidRPr="00B35AA5">
              <w:rPr>
                <w:b/>
              </w:rPr>
              <w:t>Bandwidth (kHz)</w:t>
            </w:r>
          </w:p>
        </w:tc>
        <w:tc>
          <w:tcPr>
            <w:tcW w:w="1560" w:type="dxa"/>
          </w:tcPr>
          <w:p w14:paraId="1E48E72D" w14:textId="77777777" w:rsidR="00B2630C" w:rsidRPr="00B35AA5" w:rsidRDefault="00B2630C" w:rsidP="00384662">
            <w:pPr>
              <w:jc w:val="center"/>
              <w:rPr>
                <w:b/>
              </w:rPr>
            </w:pPr>
            <w:r w:rsidRPr="00B35AA5">
              <w:rPr>
                <w:b/>
              </w:rPr>
              <w:t>Usage fraction</w:t>
            </w:r>
          </w:p>
        </w:tc>
        <w:tc>
          <w:tcPr>
            <w:tcW w:w="1792" w:type="dxa"/>
          </w:tcPr>
          <w:p w14:paraId="6DD9692F" w14:textId="77777777" w:rsidR="00B2630C" w:rsidRPr="00B35AA5" w:rsidRDefault="00B2630C" w:rsidP="00384662">
            <w:pPr>
              <w:jc w:val="center"/>
              <w:rPr>
                <w:b/>
              </w:rPr>
            </w:pPr>
            <w:r w:rsidRPr="00B35AA5">
              <w:rPr>
                <w:b/>
              </w:rPr>
              <w:t>Spectrum (kHz)</w:t>
            </w:r>
          </w:p>
        </w:tc>
      </w:tr>
      <w:tr w:rsidR="00B2630C" w:rsidRPr="00B35AA5" w14:paraId="0CDB9B5F" w14:textId="77777777" w:rsidTr="00384662">
        <w:tc>
          <w:tcPr>
            <w:tcW w:w="1917" w:type="dxa"/>
          </w:tcPr>
          <w:p w14:paraId="02D57595" w14:textId="77777777" w:rsidR="00B2630C" w:rsidRPr="00B35AA5" w:rsidRDefault="00B2630C" w:rsidP="00384662">
            <w:pPr>
              <w:jc w:val="center"/>
            </w:pPr>
            <w:r w:rsidRPr="00B35AA5">
              <w:t>SSB &amp; CW</w:t>
            </w:r>
          </w:p>
        </w:tc>
        <w:tc>
          <w:tcPr>
            <w:tcW w:w="1906" w:type="dxa"/>
          </w:tcPr>
          <w:p w14:paraId="520C750C" w14:textId="77777777" w:rsidR="00B2630C" w:rsidRPr="00B35AA5" w:rsidRDefault="00B2630C" w:rsidP="00384662">
            <w:pPr>
              <w:jc w:val="center"/>
            </w:pPr>
            <w:r w:rsidRPr="00B35AA5">
              <w:t>250</w:t>
            </w:r>
          </w:p>
        </w:tc>
        <w:tc>
          <w:tcPr>
            <w:tcW w:w="1842" w:type="dxa"/>
          </w:tcPr>
          <w:p w14:paraId="42F335BD" w14:textId="77777777" w:rsidR="00B2630C" w:rsidRPr="00B35AA5" w:rsidRDefault="00B2630C" w:rsidP="00384662">
            <w:pPr>
              <w:jc w:val="center"/>
            </w:pPr>
            <w:r w:rsidRPr="00B35AA5">
              <w:t>3</w:t>
            </w:r>
          </w:p>
        </w:tc>
        <w:tc>
          <w:tcPr>
            <w:tcW w:w="1560" w:type="dxa"/>
          </w:tcPr>
          <w:p w14:paraId="07615F1E" w14:textId="77777777" w:rsidR="00B2630C" w:rsidRPr="00B35AA5" w:rsidRDefault="00B2630C" w:rsidP="00384662">
            <w:pPr>
              <w:jc w:val="center"/>
            </w:pPr>
            <w:r w:rsidRPr="00B35AA5">
              <w:t>0.6</w:t>
            </w:r>
          </w:p>
        </w:tc>
        <w:tc>
          <w:tcPr>
            <w:tcW w:w="1792" w:type="dxa"/>
          </w:tcPr>
          <w:p w14:paraId="3D8AB201" w14:textId="77777777" w:rsidR="00B2630C" w:rsidRPr="00B35AA5" w:rsidRDefault="00B2630C" w:rsidP="00384662">
            <w:pPr>
              <w:jc w:val="center"/>
            </w:pPr>
            <w:r w:rsidRPr="00B35AA5">
              <w:t>84</w:t>
            </w:r>
          </w:p>
        </w:tc>
      </w:tr>
      <w:tr w:rsidR="00B2630C" w:rsidRPr="00B35AA5" w14:paraId="128848BF" w14:textId="77777777" w:rsidTr="00384662">
        <w:tc>
          <w:tcPr>
            <w:tcW w:w="1917" w:type="dxa"/>
          </w:tcPr>
          <w:p w14:paraId="5FE4382B" w14:textId="77777777" w:rsidR="00B2630C" w:rsidRPr="00B35AA5" w:rsidRDefault="00B2630C" w:rsidP="00384662">
            <w:pPr>
              <w:jc w:val="center"/>
            </w:pPr>
            <w:r w:rsidRPr="00B35AA5">
              <w:t>FM simplex</w:t>
            </w:r>
          </w:p>
        </w:tc>
        <w:tc>
          <w:tcPr>
            <w:tcW w:w="1906" w:type="dxa"/>
          </w:tcPr>
          <w:p w14:paraId="514BAD5A" w14:textId="77777777" w:rsidR="00B2630C" w:rsidRPr="00B35AA5" w:rsidRDefault="00B2630C" w:rsidP="00384662">
            <w:pPr>
              <w:jc w:val="center"/>
            </w:pPr>
            <w:r w:rsidRPr="00B35AA5">
              <w:t>70</w:t>
            </w:r>
          </w:p>
        </w:tc>
        <w:tc>
          <w:tcPr>
            <w:tcW w:w="1842" w:type="dxa"/>
          </w:tcPr>
          <w:p w14:paraId="5F462677" w14:textId="77777777" w:rsidR="00B2630C" w:rsidRPr="00B35AA5" w:rsidRDefault="00B2630C" w:rsidP="00384662">
            <w:pPr>
              <w:jc w:val="center"/>
            </w:pPr>
            <w:r w:rsidRPr="00B35AA5">
              <w:t>25</w:t>
            </w:r>
          </w:p>
        </w:tc>
        <w:tc>
          <w:tcPr>
            <w:tcW w:w="1560" w:type="dxa"/>
          </w:tcPr>
          <w:p w14:paraId="213E9C18" w14:textId="77777777" w:rsidR="00B2630C" w:rsidRPr="00B35AA5" w:rsidRDefault="00B2630C" w:rsidP="00384662">
            <w:pPr>
              <w:jc w:val="center"/>
            </w:pPr>
            <w:r w:rsidRPr="00B35AA5">
              <w:t>0.05</w:t>
            </w:r>
          </w:p>
        </w:tc>
        <w:tc>
          <w:tcPr>
            <w:tcW w:w="1792" w:type="dxa"/>
          </w:tcPr>
          <w:p w14:paraId="79F6F7AB" w14:textId="77777777" w:rsidR="00B2630C" w:rsidRPr="00B35AA5" w:rsidRDefault="00B2630C" w:rsidP="00384662">
            <w:pPr>
              <w:jc w:val="center"/>
            </w:pPr>
            <w:r w:rsidRPr="00B35AA5">
              <w:t>25</w:t>
            </w:r>
          </w:p>
        </w:tc>
      </w:tr>
      <w:tr w:rsidR="00B2630C" w:rsidRPr="00B35AA5" w14:paraId="5608E9D7" w14:textId="77777777" w:rsidTr="00384662">
        <w:tc>
          <w:tcPr>
            <w:tcW w:w="1917" w:type="dxa"/>
          </w:tcPr>
          <w:p w14:paraId="115B70FA" w14:textId="77777777" w:rsidR="00B2630C" w:rsidRPr="00B35AA5" w:rsidRDefault="00B2630C" w:rsidP="00384662">
            <w:pPr>
              <w:jc w:val="center"/>
            </w:pPr>
            <w:r w:rsidRPr="00B35AA5">
              <w:t xml:space="preserve">Wideband modes </w:t>
            </w:r>
          </w:p>
        </w:tc>
        <w:tc>
          <w:tcPr>
            <w:tcW w:w="1906" w:type="dxa"/>
          </w:tcPr>
          <w:p w14:paraId="7C09D306" w14:textId="77777777" w:rsidR="00B2630C" w:rsidRPr="00B35AA5" w:rsidRDefault="00B2630C" w:rsidP="00384662">
            <w:pPr>
              <w:jc w:val="center"/>
            </w:pPr>
            <w:r w:rsidRPr="00B35AA5">
              <w:t>40</w:t>
            </w:r>
          </w:p>
        </w:tc>
        <w:tc>
          <w:tcPr>
            <w:tcW w:w="1842" w:type="dxa"/>
          </w:tcPr>
          <w:p w14:paraId="1FF193D4" w14:textId="77777777" w:rsidR="00B2630C" w:rsidRPr="00B35AA5" w:rsidRDefault="00B2630C" w:rsidP="00384662">
            <w:pPr>
              <w:jc w:val="center"/>
            </w:pPr>
            <w:r w:rsidRPr="00B35AA5">
              <w:t>500</w:t>
            </w:r>
          </w:p>
        </w:tc>
        <w:tc>
          <w:tcPr>
            <w:tcW w:w="1560" w:type="dxa"/>
          </w:tcPr>
          <w:p w14:paraId="11C0EF3B" w14:textId="77777777" w:rsidR="00B2630C" w:rsidRPr="00B35AA5" w:rsidRDefault="00B2630C" w:rsidP="00384662">
            <w:pPr>
              <w:jc w:val="center"/>
            </w:pPr>
            <w:r w:rsidRPr="00B35AA5">
              <w:t>0.05</w:t>
            </w:r>
          </w:p>
        </w:tc>
        <w:tc>
          <w:tcPr>
            <w:tcW w:w="1792" w:type="dxa"/>
          </w:tcPr>
          <w:p w14:paraId="31A65B4A" w14:textId="77777777" w:rsidR="00B2630C" w:rsidRPr="00B35AA5" w:rsidRDefault="00B2630C" w:rsidP="00384662">
            <w:pPr>
              <w:jc w:val="center"/>
            </w:pPr>
            <w:r w:rsidRPr="00B35AA5">
              <w:t>500</w:t>
            </w:r>
          </w:p>
        </w:tc>
      </w:tr>
      <w:tr w:rsidR="00B2630C" w:rsidRPr="00B35AA5" w14:paraId="45EC2436" w14:textId="77777777" w:rsidTr="00384662">
        <w:tc>
          <w:tcPr>
            <w:tcW w:w="1917" w:type="dxa"/>
          </w:tcPr>
          <w:p w14:paraId="2EFFD3A5" w14:textId="77777777" w:rsidR="00B2630C" w:rsidRPr="00B35AA5" w:rsidRDefault="00B2630C" w:rsidP="00384662">
            <w:pPr>
              <w:jc w:val="center"/>
            </w:pPr>
            <w:r w:rsidRPr="00B35AA5">
              <w:t>Repeaters</w:t>
            </w:r>
          </w:p>
        </w:tc>
        <w:tc>
          <w:tcPr>
            <w:tcW w:w="1906" w:type="dxa"/>
          </w:tcPr>
          <w:p w14:paraId="2767220E" w14:textId="77777777" w:rsidR="00B2630C" w:rsidRPr="00B35AA5" w:rsidRDefault="00B2630C" w:rsidP="00384662">
            <w:pPr>
              <w:jc w:val="center"/>
            </w:pPr>
            <w:r w:rsidRPr="00B35AA5">
              <w:t>100</w:t>
            </w:r>
          </w:p>
        </w:tc>
        <w:tc>
          <w:tcPr>
            <w:tcW w:w="1842" w:type="dxa"/>
          </w:tcPr>
          <w:p w14:paraId="3A924702" w14:textId="77777777" w:rsidR="00B2630C" w:rsidRPr="00B35AA5" w:rsidRDefault="00B2630C" w:rsidP="00384662">
            <w:pPr>
              <w:jc w:val="center"/>
            </w:pPr>
            <w:r w:rsidRPr="00B35AA5">
              <w:t>50</w:t>
            </w:r>
          </w:p>
        </w:tc>
        <w:tc>
          <w:tcPr>
            <w:tcW w:w="1560" w:type="dxa"/>
          </w:tcPr>
          <w:p w14:paraId="18BADBFD" w14:textId="77777777" w:rsidR="00B2630C" w:rsidRPr="00B35AA5" w:rsidRDefault="00B2630C" w:rsidP="00384662">
            <w:pPr>
              <w:jc w:val="center"/>
            </w:pPr>
            <w:r w:rsidRPr="00B35AA5">
              <w:t>0.2</w:t>
            </w:r>
          </w:p>
        </w:tc>
        <w:tc>
          <w:tcPr>
            <w:tcW w:w="1792" w:type="dxa"/>
          </w:tcPr>
          <w:p w14:paraId="53963E98" w14:textId="77777777" w:rsidR="00B2630C" w:rsidRPr="00B35AA5" w:rsidRDefault="00B2630C" w:rsidP="00384662">
            <w:pPr>
              <w:jc w:val="center"/>
            </w:pPr>
            <w:r w:rsidRPr="00B35AA5">
              <w:t>900</w:t>
            </w:r>
          </w:p>
        </w:tc>
      </w:tr>
      <w:tr w:rsidR="00B2630C" w:rsidRPr="00B35AA5" w14:paraId="595582D7" w14:textId="77777777" w:rsidTr="00384662">
        <w:tc>
          <w:tcPr>
            <w:tcW w:w="1917" w:type="dxa"/>
          </w:tcPr>
          <w:p w14:paraId="0F36010A" w14:textId="77777777" w:rsidR="00B2630C" w:rsidRPr="00B35AA5" w:rsidRDefault="00B2630C" w:rsidP="00384662">
            <w:pPr>
              <w:jc w:val="center"/>
            </w:pPr>
            <w:r w:rsidRPr="00B35AA5">
              <w:t>Infrastructure</w:t>
            </w:r>
          </w:p>
        </w:tc>
        <w:tc>
          <w:tcPr>
            <w:tcW w:w="1906" w:type="dxa"/>
          </w:tcPr>
          <w:p w14:paraId="25D292CF" w14:textId="77777777" w:rsidR="00B2630C" w:rsidRPr="00B35AA5" w:rsidRDefault="00B2630C" w:rsidP="00384662">
            <w:pPr>
              <w:jc w:val="center"/>
            </w:pPr>
            <w:r w:rsidRPr="00B35AA5">
              <w:t>70</w:t>
            </w:r>
          </w:p>
        </w:tc>
        <w:tc>
          <w:tcPr>
            <w:tcW w:w="1842" w:type="dxa"/>
          </w:tcPr>
          <w:p w14:paraId="1A56CF31" w14:textId="77777777" w:rsidR="00B2630C" w:rsidRPr="00B35AA5" w:rsidRDefault="00B2630C" w:rsidP="00384662">
            <w:pPr>
              <w:jc w:val="center"/>
            </w:pPr>
            <w:r w:rsidRPr="00B35AA5">
              <w:t>500</w:t>
            </w:r>
          </w:p>
        </w:tc>
        <w:tc>
          <w:tcPr>
            <w:tcW w:w="1560" w:type="dxa"/>
          </w:tcPr>
          <w:p w14:paraId="0F5742ED" w14:textId="77777777" w:rsidR="00B2630C" w:rsidRPr="00B35AA5" w:rsidRDefault="00B2630C" w:rsidP="00384662">
            <w:pPr>
              <w:jc w:val="center"/>
            </w:pPr>
            <w:r w:rsidRPr="00B35AA5">
              <w:t>0.1</w:t>
            </w:r>
          </w:p>
        </w:tc>
        <w:tc>
          <w:tcPr>
            <w:tcW w:w="1792" w:type="dxa"/>
          </w:tcPr>
          <w:p w14:paraId="21AF3373" w14:textId="77777777" w:rsidR="00B2630C" w:rsidRPr="00B35AA5" w:rsidRDefault="00B2630C" w:rsidP="00384662">
            <w:pPr>
              <w:jc w:val="center"/>
            </w:pPr>
            <w:r w:rsidRPr="00B35AA5">
              <w:t>2500</w:t>
            </w:r>
          </w:p>
        </w:tc>
      </w:tr>
      <w:tr w:rsidR="00B2630C" w:rsidRPr="00B35AA5" w14:paraId="56A37E8A" w14:textId="77777777" w:rsidTr="00384662">
        <w:tc>
          <w:tcPr>
            <w:tcW w:w="1917" w:type="dxa"/>
          </w:tcPr>
          <w:p w14:paraId="4089578F" w14:textId="77777777" w:rsidR="00B2630C" w:rsidRPr="00B35AA5" w:rsidRDefault="00B2630C" w:rsidP="00384662">
            <w:pPr>
              <w:jc w:val="center"/>
            </w:pPr>
            <w:r w:rsidRPr="00B35AA5">
              <w:t>Beacons</w:t>
            </w:r>
          </w:p>
        </w:tc>
        <w:tc>
          <w:tcPr>
            <w:tcW w:w="1906" w:type="dxa"/>
          </w:tcPr>
          <w:p w14:paraId="6FF0E08A" w14:textId="77777777" w:rsidR="00B2630C" w:rsidRPr="00B35AA5" w:rsidRDefault="00B2630C" w:rsidP="00384662">
            <w:pPr>
              <w:jc w:val="center"/>
            </w:pPr>
            <w:r w:rsidRPr="00B35AA5">
              <w:t>N/A</w:t>
            </w:r>
          </w:p>
        </w:tc>
        <w:tc>
          <w:tcPr>
            <w:tcW w:w="1842" w:type="dxa"/>
          </w:tcPr>
          <w:p w14:paraId="06E2F4F0" w14:textId="77777777" w:rsidR="00B2630C" w:rsidRPr="00B35AA5" w:rsidRDefault="00B2630C" w:rsidP="00384662">
            <w:pPr>
              <w:jc w:val="center"/>
            </w:pPr>
            <w:r w:rsidRPr="00B35AA5">
              <w:t>1</w:t>
            </w:r>
          </w:p>
        </w:tc>
        <w:tc>
          <w:tcPr>
            <w:tcW w:w="1560" w:type="dxa"/>
          </w:tcPr>
          <w:p w14:paraId="4BDB56C1" w14:textId="77777777" w:rsidR="00B2630C" w:rsidRPr="00B35AA5" w:rsidRDefault="00B2630C" w:rsidP="00384662">
            <w:pPr>
              <w:jc w:val="center"/>
            </w:pPr>
            <w:r w:rsidRPr="00B35AA5">
              <w:t>N/A</w:t>
            </w:r>
          </w:p>
        </w:tc>
        <w:tc>
          <w:tcPr>
            <w:tcW w:w="1792" w:type="dxa"/>
          </w:tcPr>
          <w:p w14:paraId="389C1377" w14:textId="77777777" w:rsidR="00B2630C" w:rsidRPr="00B35AA5" w:rsidRDefault="00B2630C" w:rsidP="00384662">
            <w:pPr>
              <w:jc w:val="center"/>
            </w:pPr>
            <w:r w:rsidRPr="00B35AA5">
              <w:t>100</w:t>
            </w:r>
          </w:p>
        </w:tc>
      </w:tr>
      <w:tr w:rsidR="00B2630C" w:rsidRPr="00B35AA5" w14:paraId="63A19F81" w14:textId="77777777" w:rsidTr="00384662">
        <w:tc>
          <w:tcPr>
            <w:tcW w:w="1917" w:type="dxa"/>
          </w:tcPr>
          <w:p w14:paraId="593A6AD1" w14:textId="77777777" w:rsidR="00B2630C" w:rsidRPr="00B35AA5" w:rsidRDefault="00B2630C" w:rsidP="00384662">
            <w:pPr>
              <w:jc w:val="center"/>
              <w:rPr>
                <w:b/>
              </w:rPr>
            </w:pPr>
            <w:r w:rsidRPr="00B35AA5">
              <w:rPr>
                <w:b/>
              </w:rPr>
              <w:t>Total</w:t>
            </w:r>
          </w:p>
        </w:tc>
        <w:tc>
          <w:tcPr>
            <w:tcW w:w="1906" w:type="dxa"/>
          </w:tcPr>
          <w:p w14:paraId="3120C957" w14:textId="77777777" w:rsidR="00B2630C" w:rsidRPr="00B35AA5" w:rsidRDefault="00B2630C" w:rsidP="00384662">
            <w:pPr>
              <w:jc w:val="center"/>
            </w:pPr>
          </w:p>
        </w:tc>
        <w:tc>
          <w:tcPr>
            <w:tcW w:w="1842" w:type="dxa"/>
          </w:tcPr>
          <w:p w14:paraId="51D8DA48" w14:textId="77777777" w:rsidR="00B2630C" w:rsidRPr="00B35AA5" w:rsidRDefault="00B2630C" w:rsidP="00384662">
            <w:pPr>
              <w:jc w:val="center"/>
            </w:pPr>
          </w:p>
        </w:tc>
        <w:tc>
          <w:tcPr>
            <w:tcW w:w="1560" w:type="dxa"/>
          </w:tcPr>
          <w:p w14:paraId="073AE788" w14:textId="77777777" w:rsidR="00B2630C" w:rsidRPr="00B35AA5" w:rsidRDefault="00B2630C" w:rsidP="00384662">
            <w:pPr>
              <w:jc w:val="center"/>
            </w:pPr>
          </w:p>
        </w:tc>
        <w:tc>
          <w:tcPr>
            <w:tcW w:w="1792" w:type="dxa"/>
          </w:tcPr>
          <w:p w14:paraId="79D10B0B" w14:textId="77777777" w:rsidR="00B2630C" w:rsidRPr="00B35AA5" w:rsidRDefault="00B2630C" w:rsidP="00384662">
            <w:pPr>
              <w:jc w:val="center"/>
              <w:rPr>
                <w:b/>
              </w:rPr>
            </w:pPr>
            <w:r w:rsidRPr="00B35AA5">
              <w:rPr>
                <w:b/>
              </w:rPr>
              <w:t>4109</w:t>
            </w:r>
          </w:p>
        </w:tc>
      </w:tr>
    </w:tbl>
    <w:p w14:paraId="4A70F11A" w14:textId="77777777" w:rsidR="00B2630C" w:rsidRPr="00B35AA5" w:rsidRDefault="00B2630C" w:rsidP="00B2630C">
      <w:pPr>
        <w:spacing w:before="240"/>
      </w:pPr>
      <w:r w:rsidRPr="00B35AA5">
        <w:t>Where the Usage fraction is the fraction of amateurs who use a particular application (mode) out of all amateurs who might be active on the band throughout a year. The fraction of amateurs likely to use the 6 m band was estimated to be about 12 %. The calculations also assume that an amateur on the band is active for a two-hour period per day, averaged over a year, with a transmit/receive ratio of 50 %. Repeaters and beacons are treated slightly differently as they assumed to be on continuously e.g. for 8760 hours a year.</w:t>
      </w:r>
    </w:p>
    <w:p w14:paraId="69DE5918" w14:textId="352B8E0F" w:rsidR="00B2630C" w:rsidRDefault="00B2630C" w:rsidP="00B2630C">
      <w:pPr>
        <w:spacing w:before="240"/>
      </w:pPr>
      <w:r w:rsidRPr="00B35AA5">
        <w:t>Wideband modes are applications like Reduced Bandwidth Digital TV (see the British Amateur Television Club “</w:t>
      </w:r>
      <w:proofErr w:type="spellStart"/>
      <w:r w:rsidRPr="00B35AA5">
        <w:rPr>
          <w:rStyle w:val="ab"/>
        </w:rPr>
        <w:fldChar w:fldCharType="begin"/>
      </w:r>
      <w:r w:rsidRPr="00B35AA5">
        <w:rPr>
          <w:rStyle w:val="ab"/>
        </w:rPr>
        <w:instrText xml:space="preserve"> HYPERLINK "https://wiki.batc.org.uk/The_Portsdown_Transmitter" </w:instrText>
      </w:r>
      <w:r w:rsidRPr="00B35AA5">
        <w:rPr>
          <w:rStyle w:val="ab"/>
        </w:rPr>
        <w:fldChar w:fldCharType="separate"/>
      </w:r>
      <w:r w:rsidRPr="00B35AA5">
        <w:rPr>
          <w:rStyle w:val="ab"/>
        </w:rPr>
        <w:t>Portsdown</w:t>
      </w:r>
      <w:proofErr w:type="spellEnd"/>
      <w:r w:rsidRPr="00B35AA5">
        <w:rPr>
          <w:rStyle w:val="ab"/>
        </w:rPr>
        <w:fldChar w:fldCharType="end"/>
      </w:r>
      <w:r w:rsidRPr="00B35AA5">
        <w:t xml:space="preserve">” transmitter for example) and the infrastructure application is to support existing relatively wideband IP-based links like </w:t>
      </w:r>
      <w:hyperlink r:id="rId20" w:history="1">
        <w:r w:rsidRPr="00B35AA5">
          <w:rPr>
            <w:rStyle w:val="ab"/>
          </w:rPr>
          <w:t>HAMNET</w:t>
        </w:r>
      </w:hyperlink>
      <w:r w:rsidRPr="00B35AA5">
        <w:t xml:space="preserve"> used on the higher bands in many parts of Europe but using a bandwidth of approximately 500 kHz in parts of the 6 m band.</w:t>
      </w:r>
    </w:p>
    <w:p w14:paraId="5D780C2B" w14:textId="77777777" w:rsidR="00B2630C" w:rsidRDefault="00B2630C" w:rsidP="00B2630C"/>
    <w:p w14:paraId="120CE814" w14:textId="67059D7F" w:rsidR="00B2630C" w:rsidRDefault="00B2630C" w:rsidP="00B2630C">
      <w:r w:rsidRPr="00B35AA5">
        <w:t>The input parameters chosen were thought to be typical of Europe and it can be seen that the population density of amateur operators is a critical parameter in these calculations and for Europe, with an average density of 0.07 amateurs/km</w:t>
      </w:r>
      <w:r w:rsidRPr="00B35AA5">
        <w:rPr>
          <w:vertAlign w:val="superscript"/>
        </w:rPr>
        <w:t>2</w:t>
      </w:r>
      <w:r w:rsidRPr="00B35AA5">
        <w:t xml:space="preserve"> it’s possible to justify 4 MHz of spectrum. </w:t>
      </w:r>
    </w:p>
    <w:p w14:paraId="3551C66C" w14:textId="77777777" w:rsidR="00B2630C" w:rsidRPr="00B35AA5" w:rsidRDefault="00B2630C" w:rsidP="00B2630C"/>
    <w:p w14:paraId="1430127F" w14:textId="6177B133" w:rsidR="00B2630C" w:rsidRDefault="00B2630C" w:rsidP="00B2630C">
      <w:r w:rsidRPr="00B35AA5">
        <w:t xml:space="preserve">Consider the situation in countries with a much lower amateur population density, for example, what might be the situation in Australia? If we assume 14,000 licensees and taking 10% of </w:t>
      </w:r>
      <w:hyperlink r:id="rId21" w:history="1">
        <w:r w:rsidRPr="00B35AA5">
          <w:rPr>
            <w:rStyle w:val="ab"/>
          </w:rPr>
          <w:t>Australia’s area of 7.692 x 10</w:t>
        </w:r>
        <w:r w:rsidRPr="00B35AA5">
          <w:rPr>
            <w:rStyle w:val="ab"/>
            <w:vertAlign w:val="superscript"/>
          </w:rPr>
          <w:t>6</w:t>
        </w:r>
        <w:r w:rsidRPr="00B35AA5">
          <w:rPr>
            <w:rStyle w:val="ab"/>
          </w:rPr>
          <w:t xml:space="preserve"> km</w:t>
        </w:r>
        <w:r w:rsidRPr="00B35AA5">
          <w:rPr>
            <w:rStyle w:val="ab"/>
            <w:vertAlign w:val="superscript"/>
          </w:rPr>
          <w:t>2</w:t>
        </w:r>
      </w:hyperlink>
      <w:r w:rsidRPr="00B35AA5">
        <w:t xml:space="preserve"> (since no one lives in the other 90%...) we get an amateur population density of about 0.018 amateurs/km</w:t>
      </w:r>
      <w:r w:rsidRPr="00B35AA5">
        <w:rPr>
          <w:vertAlign w:val="superscript"/>
        </w:rPr>
        <w:t>2</w:t>
      </w:r>
      <w:r w:rsidRPr="00B35AA5">
        <w:t>, furthermore assuming similar usage patterns to those in Europe we get about 1.9 MHz of required spectrum for the 6 m band. However in Australia at present on the 6 m band we are limited to applications requiring much less bandwidth, so if we consider only the applications with bandwidths we are currently permitted to use we can justify about ~400 kHz of spectrum if the application based method is used. Many other countries with a low amateur population density will get similar or even smaller results.</w:t>
      </w:r>
    </w:p>
    <w:p w14:paraId="47D5DABA" w14:textId="77777777" w:rsidR="00B2630C" w:rsidRPr="00B35AA5" w:rsidRDefault="00B2630C" w:rsidP="00B2630C"/>
    <w:p w14:paraId="134253B4" w14:textId="7234EC4E" w:rsidR="00B2630C" w:rsidRDefault="00B2630C" w:rsidP="00B2630C">
      <w:r w:rsidRPr="00B35AA5">
        <w:t>Note also that the application based method excludes periods of anomalous propagation as it is very difficult to quantify the duration and timing of such events. However if such events are taken into account they have the potential to adversely affect sharing with other services because of the greatly extended range of amateur signals, leading to a greater probability of interference. While the focus of this example is on the 6 m band, the same approach could be applied to any other amateur band.</w:t>
      </w:r>
    </w:p>
    <w:p w14:paraId="735A6B43" w14:textId="77777777" w:rsidR="00B2630C" w:rsidRPr="00B35AA5" w:rsidRDefault="00B2630C" w:rsidP="00B2630C"/>
    <w:p w14:paraId="7291D164" w14:textId="6ED1DE27" w:rsidR="00B2630C" w:rsidRDefault="00B2630C" w:rsidP="00B2630C">
      <w:pPr>
        <w:rPr>
          <w:b/>
        </w:rPr>
      </w:pPr>
      <w:r w:rsidRPr="00B35AA5">
        <w:rPr>
          <w:b/>
        </w:rPr>
        <w:t>Measuring band occupancy</w:t>
      </w:r>
    </w:p>
    <w:p w14:paraId="04445EE8" w14:textId="77777777" w:rsidR="00B2630C" w:rsidRPr="00B35AA5" w:rsidRDefault="00B2630C" w:rsidP="00B2630C">
      <w:pPr>
        <w:rPr>
          <w:b/>
        </w:rPr>
      </w:pPr>
    </w:p>
    <w:p w14:paraId="5F1AE196" w14:textId="4DF98A93" w:rsidR="00B2630C" w:rsidRDefault="00B2630C" w:rsidP="00B2630C">
      <w:r w:rsidRPr="00B35AA5">
        <w:t>For the first time in WRC preparatory work on amateur issues, an administration has undertaken spectrum occupancy studies i.e. monitored band usage in the whole country for a period of time, this was done for 50 – 52 MHz band as part of work towards WRC-19 AI 1.1. While this study is imperfect in many respects, it shows that the estimated parameters used in the application based approach are optimistic, and that band usage is much less than predicted. This will make it even more difficult to justify the spectrum for amateur use – and the study was undertaken in a country with a higher than average amateur population density.</w:t>
      </w:r>
    </w:p>
    <w:p w14:paraId="79460E41" w14:textId="77777777" w:rsidR="00B2630C" w:rsidRPr="00B35AA5" w:rsidRDefault="00B2630C" w:rsidP="00B2630C"/>
    <w:p w14:paraId="254D25DD" w14:textId="0F9DC030" w:rsidR="00B2630C" w:rsidRDefault="00B2630C" w:rsidP="00B2630C">
      <w:r w:rsidRPr="00B35AA5">
        <w:t>A logical conclusion is that it’s quite likely that some, or even many, administrations are monitoring usage of the amateur spectrum and have collected the statistics of band occupancy. Such data will be hard to refute and may have adverse consequences in the future.</w:t>
      </w:r>
    </w:p>
    <w:p w14:paraId="31E2AC8F" w14:textId="77777777" w:rsidR="00B2630C" w:rsidRPr="00B35AA5" w:rsidRDefault="00B2630C" w:rsidP="00B2630C"/>
    <w:p w14:paraId="1BB2581E" w14:textId="6002A97D" w:rsidR="00B2630C" w:rsidRDefault="00B2630C" w:rsidP="00B2630C">
      <w:pPr>
        <w:rPr>
          <w:b/>
        </w:rPr>
      </w:pPr>
      <w:r w:rsidRPr="00B35AA5">
        <w:rPr>
          <w:b/>
        </w:rPr>
        <w:t>Technical implications</w:t>
      </w:r>
    </w:p>
    <w:p w14:paraId="612CFB72" w14:textId="77777777" w:rsidR="00B2630C" w:rsidRPr="00B35AA5" w:rsidRDefault="00B2630C" w:rsidP="00B2630C">
      <w:pPr>
        <w:rPr>
          <w:b/>
        </w:rPr>
      </w:pPr>
    </w:p>
    <w:p w14:paraId="23EB3FA8" w14:textId="15B738DB" w:rsidR="00B2630C" w:rsidRDefault="00B2630C" w:rsidP="00B2630C">
      <w:r w:rsidRPr="00B35AA5">
        <w:t>While the discussion above has focused on the 6 m band, one thing that the applications based method has revealed which is applicable to all bands is that we need to come up with applications (transmission modes) that use more, rather than less spectrum, if we are required to justify our allocated spectrum. More amateurs or more band activity would also help, but they are separate and difficult issues…</w:t>
      </w:r>
    </w:p>
    <w:p w14:paraId="310CE760" w14:textId="77777777" w:rsidR="00B2630C" w:rsidRPr="00B35AA5" w:rsidRDefault="00B2630C" w:rsidP="00B2630C"/>
    <w:p w14:paraId="12F5D1D2" w14:textId="7ABF60A9" w:rsidR="00B2630C" w:rsidRDefault="00B2630C" w:rsidP="00B2630C">
      <w:r w:rsidRPr="00B35AA5">
        <w:t xml:space="preserve">The move towards digital coding, a rising noise floor and internet reporting has driven us in the direction of reducing the bandwidth </w:t>
      </w:r>
      <w:r w:rsidR="000A2CFC">
        <w:t xml:space="preserve">that </w:t>
      </w:r>
      <w:r w:rsidRPr="00B35AA5">
        <w:t xml:space="preserve">we, as amateurs, </w:t>
      </w:r>
      <w:r w:rsidR="000A2CFC">
        <w:t>use</w:t>
      </w:r>
      <w:r w:rsidRPr="00B35AA5">
        <w:t xml:space="preserve"> to communicate. The ‘JT’ modes are a superb example of very clever coding, allowing communications in very narrow bandwidths. They allow (usually limited) communications to occur in situations where conventional analog </w:t>
      </w:r>
      <w:r w:rsidR="000A2CFC">
        <w:t>applications (</w:t>
      </w:r>
      <w:r w:rsidRPr="00B35AA5">
        <w:t>modes</w:t>
      </w:r>
      <w:r w:rsidR="000A2CFC">
        <w:t>)</w:t>
      </w:r>
      <w:r w:rsidRPr="00B35AA5">
        <w:t xml:space="preserve"> do not function. Similarly various digital voice modes generally use narrow bandwidths and operate in poor signal-to-noise environments. In general the direction of application development is to use less bandwidth and this leads to some questions:</w:t>
      </w:r>
    </w:p>
    <w:p w14:paraId="60C9D2DA" w14:textId="77777777" w:rsidR="00B2630C" w:rsidRPr="00B35AA5" w:rsidRDefault="00B2630C" w:rsidP="00B2630C"/>
    <w:p w14:paraId="7B7F2B32" w14:textId="77777777" w:rsidR="00B2630C" w:rsidRPr="00B35AA5" w:rsidRDefault="00B2630C" w:rsidP="00B2630C">
      <w:pPr>
        <w:pStyle w:val="ac"/>
        <w:numPr>
          <w:ilvl w:val="0"/>
          <w:numId w:val="10"/>
        </w:numPr>
        <w:spacing w:after="0"/>
        <w:ind w:left="714" w:hanging="357"/>
        <w:contextualSpacing w:val="0"/>
        <w:rPr>
          <w:rFonts w:ascii="Times New Roman" w:hAnsi="Times New Roman" w:cs="Times New Roman"/>
          <w:sz w:val="24"/>
          <w:szCs w:val="24"/>
        </w:rPr>
      </w:pPr>
      <w:r w:rsidRPr="00B35AA5">
        <w:rPr>
          <w:rFonts w:ascii="Times New Roman" w:hAnsi="Times New Roman" w:cs="Times New Roman"/>
          <w:sz w:val="24"/>
          <w:szCs w:val="24"/>
        </w:rPr>
        <w:t>While the advantages of narrow bandwidth applications are very important when band conditions are poor or band occupancy is high, what about the rest of the time? What about the VHF bands and above where propagation conditions are relatively favourable and stable, why limit the application bandwidth?</w:t>
      </w:r>
    </w:p>
    <w:p w14:paraId="58A9090F" w14:textId="77777777" w:rsidR="00B2630C" w:rsidRPr="00B35AA5" w:rsidRDefault="00B2630C" w:rsidP="00B2630C">
      <w:pPr>
        <w:pStyle w:val="ac"/>
        <w:numPr>
          <w:ilvl w:val="0"/>
          <w:numId w:val="10"/>
        </w:numPr>
        <w:spacing w:before="60"/>
        <w:ind w:left="714" w:hanging="357"/>
        <w:contextualSpacing w:val="0"/>
        <w:rPr>
          <w:rFonts w:ascii="Times New Roman" w:hAnsi="Times New Roman" w:cs="Times New Roman"/>
          <w:sz w:val="24"/>
          <w:szCs w:val="24"/>
        </w:rPr>
      </w:pPr>
      <w:r w:rsidRPr="00B35AA5">
        <w:rPr>
          <w:rFonts w:ascii="Times New Roman" w:hAnsi="Times New Roman" w:cs="Times New Roman"/>
          <w:sz w:val="24"/>
          <w:szCs w:val="24"/>
        </w:rPr>
        <w:t>Why not consider developing modes that use more bandwidth, or at least are adaptive and can use more bandwidth when band conditions permit? Wider band modes offering better voice quality are certainly easier on the ear. Other information could also be transmitted which would enhance the communications experience. Reduced Bandwidth Digital TV is a possibility for UHF bands and above, possibly even on 6 m and 2 m. Acceptable video quality can be achieved using bandwidths of 300 kHz or less.</w:t>
      </w:r>
    </w:p>
    <w:p w14:paraId="67CD73DE" w14:textId="77777777" w:rsidR="00B2630C" w:rsidRPr="00B35AA5" w:rsidRDefault="00B2630C" w:rsidP="00B2630C">
      <w:pPr>
        <w:pStyle w:val="ac"/>
        <w:numPr>
          <w:ilvl w:val="0"/>
          <w:numId w:val="10"/>
        </w:numPr>
        <w:rPr>
          <w:rFonts w:ascii="Times New Roman" w:hAnsi="Times New Roman" w:cs="Times New Roman"/>
          <w:sz w:val="24"/>
          <w:szCs w:val="24"/>
        </w:rPr>
      </w:pPr>
      <w:r w:rsidRPr="00B35AA5">
        <w:rPr>
          <w:rFonts w:ascii="Times New Roman" w:hAnsi="Times New Roman" w:cs="Times New Roman"/>
          <w:sz w:val="24"/>
          <w:szCs w:val="24"/>
        </w:rPr>
        <w:t xml:space="preserve">How about moving away from our reliance on internet mediated modes, or at least supplement the internet with an amateur equivalent. </w:t>
      </w:r>
      <w:hyperlink r:id="rId22" w:history="1">
        <w:r w:rsidRPr="00B35AA5">
          <w:rPr>
            <w:rStyle w:val="ab"/>
            <w:rFonts w:ascii="Times New Roman" w:hAnsi="Times New Roman" w:cs="Times New Roman"/>
            <w:sz w:val="24"/>
            <w:szCs w:val="24"/>
          </w:rPr>
          <w:t>HAMNET</w:t>
        </w:r>
      </w:hyperlink>
      <w:r w:rsidRPr="00B35AA5">
        <w:rPr>
          <w:rFonts w:ascii="Times New Roman" w:hAnsi="Times New Roman" w:cs="Times New Roman"/>
          <w:sz w:val="24"/>
          <w:szCs w:val="24"/>
        </w:rPr>
        <w:t xml:space="preserve"> in Germany and </w:t>
      </w:r>
      <w:hyperlink r:id="rId23" w:history="1">
        <w:r w:rsidRPr="00B35AA5">
          <w:rPr>
            <w:rStyle w:val="ab"/>
            <w:rFonts w:ascii="Times New Roman" w:hAnsi="Times New Roman" w:cs="Times New Roman"/>
            <w:sz w:val="24"/>
            <w:szCs w:val="24"/>
          </w:rPr>
          <w:t>Broadband-Hamnet</w:t>
        </w:r>
      </w:hyperlink>
      <w:r w:rsidRPr="00B35AA5">
        <w:rPr>
          <w:rFonts w:ascii="Times New Roman" w:hAnsi="Times New Roman" w:cs="Times New Roman"/>
          <w:sz w:val="24"/>
          <w:szCs w:val="24"/>
        </w:rPr>
        <w:t xml:space="preserve"> in the US are examples of this. Why not use some of our spectrum assets to transmit amateur-specific and non-commercial information (DX clusters, WSPR reports, etc.) instead of commercial internet services? Considering that amateurs have exclusive use of the 44.xx.xx.xx IP address range (</w:t>
      </w:r>
      <w:proofErr w:type="spellStart"/>
      <w:r w:rsidRPr="00B35AA5">
        <w:rPr>
          <w:rStyle w:val="ab"/>
          <w:rFonts w:ascii="Times New Roman" w:hAnsi="Times New Roman" w:cs="Times New Roman"/>
          <w:sz w:val="24"/>
          <w:szCs w:val="24"/>
        </w:rPr>
        <w:fldChar w:fldCharType="begin"/>
      </w:r>
      <w:r w:rsidRPr="00B35AA5">
        <w:rPr>
          <w:rStyle w:val="ab"/>
          <w:rFonts w:ascii="Times New Roman" w:hAnsi="Times New Roman" w:cs="Times New Roman"/>
          <w:sz w:val="24"/>
          <w:szCs w:val="24"/>
        </w:rPr>
        <w:instrText xml:space="preserve"> HYPERLINK "http://wiki.ampr.org/wiki/Main_Page" </w:instrText>
      </w:r>
      <w:r w:rsidRPr="00B35AA5">
        <w:rPr>
          <w:rStyle w:val="ab"/>
          <w:rFonts w:ascii="Times New Roman" w:hAnsi="Times New Roman" w:cs="Times New Roman"/>
          <w:sz w:val="24"/>
          <w:szCs w:val="24"/>
        </w:rPr>
        <w:fldChar w:fldCharType="separate"/>
      </w:r>
      <w:r w:rsidRPr="00B35AA5">
        <w:rPr>
          <w:rStyle w:val="ab"/>
          <w:rFonts w:ascii="Times New Roman" w:hAnsi="Times New Roman" w:cs="Times New Roman"/>
          <w:sz w:val="24"/>
          <w:szCs w:val="24"/>
        </w:rPr>
        <w:t>AMPRNet</w:t>
      </w:r>
      <w:proofErr w:type="spellEnd"/>
      <w:r w:rsidRPr="00B35AA5">
        <w:rPr>
          <w:rStyle w:val="ab"/>
          <w:rFonts w:ascii="Times New Roman" w:hAnsi="Times New Roman" w:cs="Times New Roman"/>
          <w:sz w:val="24"/>
          <w:szCs w:val="24"/>
        </w:rPr>
        <w:fldChar w:fldCharType="end"/>
      </w:r>
      <w:r w:rsidRPr="00B35AA5">
        <w:rPr>
          <w:rFonts w:ascii="Times New Roman" w:hAnsi="Times New Roman" w:cs="Times New Roman"/>
          <w:sz w:val="24"/>
          <w:szCs w:val="24"/>
        </w:rPr>
        <w:t>) we could build an independent, though internet-linked amateur-specific network. Given the low population density in many Region 3 countries an extensive broadband network using any of the microwave bands is unlikely to be feasible, but perhaps lower frequency bands could be used for (relatively) broadband links if the application data rate is kept low enough.</w:t>
      </w:r>
    </w:p>
    <w:p w14:paraId="4FE2E94F" w14:textId="39AAD0C2" w:rsidR="00B2630C" w:rsidRDefault="00B2630C" w:rsidP="00B2630C">
      <w:r w:rsidRPr="00B35AA5">
        <w:t>Acting upon some of these ideas, and other innovations, would increase spectrum occupancy and help justify the bands we have.</w:t>
      </w:r>
    </w:p>
    <w:p w14:paraId="69177AF7" w14:textId="77777777" w:rsidR="00B2630C" w:rsidRPr="00B35AA5" w:rsidRDefault="00B2630C" w:rsidP="00B2630C"/>
    <w:p w14:paraId="4F1D577C" w14:textId="44D5436D" w:rsidR="00B2630C" w:rsidRDefault="00B2630C" w:rsidP="00B2630C">
      <w:pPr>
        <w:rPr>
          <w:b/>
        </w:rPr>
      </w:pPr>
      <w:r w:rsidRPr="00B35AA5">
        <w:rPr>
          <w:b/>
        </w:rPr>
        <w:t>Other Implications</w:t>
      </w:r>
    </w:p>
    <w:p w14:paraId="44888371" w14:textId="77777777" w:rsidR="00B2630C" w:rsidRPr="00B35AA5" w:rsidRDefault="00B2630C" w:rsidP="00B2630C">
      <w:pPr>
        <w:rPr>
          <w:b/>
        </w:rPr>
      </w:pPr>
    </w:p>
    <w:p w14:paraId="33B21D71" w14:textId="44274D88" w:rsidR="00B2630C" w:rsidRDefault="00B2630C" w:rsidP="00B2630C">
      <w:r w:rsidRPr="00B35AA5">
        <w:t xml:space="preserve">In the early part of this paper it was stated that future spectrum access and usage is likely to be driven by non-technical considerations, decisions will be made by policy makers and the politicians of the day. This has some implications that we need to consider and act upon. Traditionally we have been able to argue our case with the national regulator (the ACMA in Australia), however the ACMA review indicates that this may need to change and we may find ourselves talking to policy makers and politician in the future. This change may also occur in other countries if they follow a similar economic approach. </w:t>
      </w:r>
    </w:p>
    <w:p w14:paraId="32D63F30" w14:textId="77777777" w:rsidR="00B2630C" w:rsidRPr="00B35AA5" w:rsidRDefault="00B2630C" w:rsidP="00B2630C"/>
    <w:p w14:paraId="53205962" w14:textId="6042D3AD" w:rsidR="00B2630C" w:rsidRDefault="00B2630C" w:rsidP="00B2630C">
      <w:r w:rsidRPr="00B35AA5">
        <w:t xml:space="preserve">In some countries the Regulator is required to consult with the community about changes to band usage, licence conditions and other aspects of spectrum usage. At present in Australia the </w:t>
      </w:r>
      <w:hyperlink r:id="rId24" w:history="1">
        <w:r w:rsidRPr="00B35AA5">
          <w:rPr>
            <w:rStyle w:val="ab"/>
          </w:rPr>
          <w:t>ACMA consultation process</w:t>
        </w:r>
      </w:hyperlink>
      <w:r w:rsidRPr="00B35AA5">
        <w:t xml:space="preserve"> is  a way Australian citizens can influence policy development that we may have concerns about – but influencing policy development can only be achieved if amateurs individually and collective make submissions on issues that impact the amateur service. </w:t>
      </w:r>
    </w:p>
    <w:p w14:paraId="7EBF795F" w14:textId="77777777" w:rsidR="00B2630C" w:rsidRPr="00B35AA5" w:rsidRDefault="00B2630C" w:rsidP="00B2630C"/>
    <w:p w14:paraId="1B11DC92" w14:textId="12A03670" w:rsidR="00B2630C" w:rsidRDefault="00B2630C" w:rsidP="00B2630C">
      <w:r w:rsidRPr="00B35AA5">
        <w:t xml:space="preserve">In some countries, where the political and cultural processes permit it, amateurs may need to become politically active and let their elected members of parliament know about their concerns and needs as members of the amateur service, especially if submissions from the amateur community have not been taken into account. If we lose bands or if other serious restrictions are put on the use of existing amateur bands we will need to let our MPs and Ministers know that the amateur service has ongoing value to the community and that value is compromised by the loss of bands or capability. Only if we bring these issues to their attention can any pressure be applied to the policy advisors and policy makers so that decisions don’t adversely affect the amateur service. Of course any such discourse needs to be </w:t>
      </w:r>
      <w:r w:rsidRPr="00B35AA5">
        <w:rPr>
          <w:i/>
        </w:rPr>
        <w:t xml:space="preserve">correct, respectful </w:t>
      </w:r>
      <w:r w:rsidRPr="00B35AA5">
        <w:t>and</w:t>
      </w:r>
      <w:r w:rsidRPr="00B35AA5">
        <w:rPr>
          <w:i/>
        </w:rPr>
        <w:t xml:space="preserve"> polite</w:t>
      </w:r>
      <w:r w:rsidRPr="00B35AA5">
        <w:t xml:space="preserve"> if we are to have any impact.</w:t>
      </w:r>
    </w:p>
    <w:p w14:paraId="27552328" w14:textId="77777777" w:rsidR="00B2630C" w:rsidRPr="00B35AA5" w:rsidRDefault="00B2630C" w:rsidP="00B2630C"/>
    <w:p w14:paraId="174789F5" w14:textId="1AEC353F" w:rsidR="00B2630C" w:rsidRDefault="00B2630C" w:rsidP="00B2630C">
      <w:r w:rsidRPr="00B35AA5">
        <w:t xml:space="preserve">In addition, our national representative bodies may need to lobby politicians on behalf the amateur service, but amateurs </w:t>
      </w:r>
      <w:r w:rsidR="00F2283B">
        <w:t>who</w:t>
      </w:r>
      <w:r w:rsidR="00F2283B" w:rsidRPr="00B35AA5">
        <w:t xml:space="preserve"> </w:t>
      </w:r>
      <w:r w:rsidRPr="00B35AA5">
        <w:t>individually communicate their needs and concerns will add value to the discussions. All of us need to demonstrate and advertise the value of amateur radio to the wider community.</w:t>
      </w:r>
    </w:p>
    <w:p w14:paraId="144EBCBC" w14:textId="77777777" w:rsidR="00B2630C" w:rsidRPr="00B35AA5" w:rsidRDefault="00B2630C" w:rsidP="00B2630C"/>
    <w:p w14:paraId="2E844955" w14:textId="2BAB26C1" w:rsidR="00B2630C" w:rsidRDefault="00B2630C" w:rsidP="00B2630C">
      <w:pPr>
        <w:rPr>
          <w:b/>
        </w:rPr>
      </w:pPr>
      <w:r w:rsidRPr="00B35AA5">
        <w:rPr>
          <w:b/>
        </w:rPr>
        <w:t>Conclusions</w:t>
      </w:r>
    </w:p>
    <w:p w14:paraId="5FFA8544" w14:textId="77777777" w:rsidR="00B2630C" w:rsidRPr="00B35AA5" w:rsidRDefault="00B2630C" w:rsidP="00B2630C">
      <w:pPr>
        <w:rPr>
          <w:b/>
        </w:rPr>
      </w:pPr>
    </w:p>
    <w:p w14:paraId="23FE06BD" w14:textId="77777777" w:rsidR="00B2630C" w:rsidRPr="00B35AA5" w:rsidRDefault="00B2630C" w:rsidP="00B2630C">
      <w:r w:rsidRPr="00B35AA5">
        <w:t>We are entering a “brave new world” of hyper-connected communications; decisions about spectrum access will no longer be driven entirely by technical concerns.</w:t>
      </w:r>
    </w:p>
    <w:p w14:paraId="635557BA" w14:textId="28D762A9" w:rsidR="00B2630C" w:rsidRDefault="00B2630C" w:rsidP="00B2630C">
      <w:pPr>
        <w:rPr>
          <w:b/>
          <w:i/>
        </w:rPr>
      </w:pPr>
      <w:r w:rsidRPr="00B35AA5">
        <w:t xml:space="preserve">Amateur radio needs to demonstrate its value by being creative, useful to the community and to use much more of the spectrum it has access to, either by much higher levels of band activity or by developing new applications which use more bandwidth when possible and appropriate. The phrase. </w:t>
      </w:r>
      <w:r w:rsidRPr="00B35AA5">
        <w:rPr>
          <w:b/>
          <w:i/>
        </w:rPr>
        <w:t>“use it or lose it” has never been more important.</w:t>
      </w:r>
    </w:p>
    <w:p w14:paraId="69F0C8E1" w14:textId="77777777" w:rsidR="00B2630C" w:rsidRPr="00B35AA5" w:rsidRDefault="00B2630C" w:rsidP="00B2630C">
      <w:pPr>
        <w:rPr>
          <w:b/>
          <w:i/>
        </w:rPr>
      </w:pPr>
    </w:p>
    <w:p w14:paraId="5C1356F5" w14:textId="11075CFD" w:rsidR="00B2630C" w:rsidRDefault="00B2630C" w:rsidP="00B2630C">
      <w:r w:rsidRPr="00B35AA5">
        <w:t xml:space="preserve">Individually and collectively we may (more likely will) </w:t>
      </w:r>
      <w:r>
        <w:t xml:space="preserve">may </w:t>
      </w:r>
      <w:r w:rsidRPr="00B35AA5">
        <w:t xml:space="preserve">need to act at a political level in </w:t>
      </w:r>
      <w:proofErr w:type="spellStart"/>
      <w:r w:rsidRPr="00B35AA5">
        <w:t>defence</w:t>
      </w:r>
      <w:proofErr w:type="spellEnd"/>
      <w:r w:rsidRPr="00B35AA5">
        <w:t xml:space="preserve"> of our amateur radio interests.</w:t>
      </w:r>
    </w:p>
    <w:p w14:paraId="12C96095" w14:textId="528AE43B" w:rsidR="00B2630C" w:rsidRDefault="00B2630C" w:rsidP="00B2630C"/>
    <w:p w14:paraId="35629CCD" w14:textId="623B6351" w:rsidR="00B2630C" w:rsidRPr="00B35AA5" w:rsidRDefault="00B2630C" w:rsidP="00B2630C">
      <w:r w:rsidRPr="00092CA7">
        <w:rPr>
          <w:b/>
        </w:rPr>
        <w:t>Recommendation:</w:t>
      </w:r>
      <w:r>
        <w:t xml:space="preserve">  The Conference note the content of this paper for further discussion.</w:t>
      </w:r>
    </w:p>
    <w:p w14:paraId="3C84EEE6" w14:textId="77777777" w:rsidR="00E801DB" w:rsidRDefault="00E801DB" w:rsidP="00E801DB">
      <w:pPr>
        <w:jc w:val="center"/>
        <w:rPr>
          <w:rFonts w:eastAsia="ＭＳ 明朝"/>
          <w:lang w:eastAsia="ja-JP"/>
        </w:rPr>
      </w:pPr>
    </w:p>
    <w:p w14:paraId="6D878B09" w14:textId="77777777" w:rsidR="0005660E" w:rsidRDefault="0005660E">
      <w:pPr>
        <w:rPr>
          <w:rFonts w:eastAsia="ＭＳ 明朝"/>
          <w:lang w:eastAsia="ja-JP"/>
        </w:rPr>
      </w:pPr>
    </w:p>
    <w:p w14:paraId="03EDC2BF" w14:textId="77777777" w:rsidR="003C2A5B" w:rsidRDefault="003C2A5B">
      <w:pPr>
        <w:rPr>
          <w:rFonts w:eastAsia="ＭＳ 明朝"/>
          <w:lang w:eastAsia="ja-JP"/>
        </w:rPr>
      </w:pPr>
    </w:p>
    <w:p w14:paraId="5354D135" w14:textId="77777777" w:rsidR="00156D1D" w:rsidRDefault="00156D1D">
      <w:pPr>
        <w:rPr>
          <w:rFonts w:eastAsia="ＭＳ 明朝"/>
          <w:lang w:eastAsia="ja-JP"/>
        </w:rPr>
      </w:pPr>
    </w:p>
    <w:p w14:paraId="77EAC474" w14:textId="77777777" w:rsidR="00156D1D" w:rsidRDefault="00156D1D">
      <w:pPr>
        <w:rPr>
          <w:rFonts w:eastAsia="ＭＳ 明朝"/>
          <w:lang w:eastAsia="ja-JP"/>
        </w:rPr>
      </w:pPr>
      <w:r>
        <w:rPr>
          <w:rFonts w:eastAsia="ＭＳ 明朝"/>
          <w:lang w:eastAsia="ja-JP"/>
        </w:rPr>
        <w:br w:type="page"/>
      </w:r>
    </w:p>
    <w:p w14:paraId="047F8D0E" w14:textId="77777777" w:rsidR="00156D1D" w:rsidRPr="006C05A8" w:rsidRDefault="00156D1D">
      <w:pPr>
        <w:rPr>
          <w:rFonts w:eastAsia="ＭＳ 明朝"/>
          <w:lang w:eastAsia="ja-JP"/>
        </w:rPr>
      </w:pPr>
    </w:p>
    <w:p w14:paraId="2C530FC1" w14:textId="77777777" w:rsidR="00156D1D" w:rsidRDefault="00156D1D">
      <w:pPr>
        <w:rPr>
          <w:rFonts w:eastAsia="ＭＳ 明朝"/>
          <w:lang w:eastAsia="ja-JP"/>
        </w:rPr>
      </w:pPr>
    </w:p>
    <w:p w14:paraId="09902566" w14:textId="77777777" w:rsidR="00156D1D" w:rsidRDefault="00156D1D">
      <w:pPr>
        <w:rPr>
          <w:rFonts w:eastAsia="ＭＳ 明朝"/>
          <w:lang w:eastAsia="ja-JP"/>
        </w:rPr>
      </w:pPr>
    </w:p>
    <w:p w14:paraId="79F77C10" w14:textId="77777777" w:rsidR="00156D1D" w:rsidRDefault="00156D1D">
      <w:pPr>
        <w:rPr>
          <w:rFonts w:eastAsia="ＭＳ 明朝"/>
          <w:lang w:eastAsia="ja-JP"/>
        </w:rPr>
      </w:pPr>
    </w:p>
    <w:p w14:paraId="265F72FE" w14:textId="77777777"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14:paraId="36CB3372" w14:textId="77777777" w:rsidR="00156D1D" w:rsidRPr="00156D1D" w:rsidRDefault="00156D1D">
      <w:pPr>
        <w:rPr>
          <w:rFonts w:eastAsia="ＭＳ 明朝"/>
          <w:lang w:eastAsia="ja-JP"/>
        </w:rPr>
      </w:pPr>
    </w:p>
    <w:sectPr w:rsidR="00156D1D" w:rsidRPr="00156D1D" w:rsidSect="00A80565">
      <w:headerReference w:type="default" r:id="rId25"/>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819C9" w14:textId="77777777" w:rsidR="003706F3" w:rsidRDefault="003706F3">
      <w:r>
        <w:separator/>
      </w:r>
    </w:p>
  </w:endnote>
  <w:endnote w:type="continuationSeparator" w:id="0">
    <w:p w14:paraId="370C9F9F" w14:textId="77777777" w:rsidR="003706F3" w:rsidRDefault="00370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B72E32" w14:textId="77777777" w:rsidR="003706F3" w:rsidRDefault="003706F3">
      <w:r>
        <w:separator/>
      </w:r>
    </w:p>
  </w:footnote>
  <w:footnote w:type="continuationSeparator" w:id="0">
    <w:p w14:paraId="4286C257" w14:textId="77777777" w:rsidR="003706F3" w:rsidRDefault="003706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80E55" w14:textId="2B6ABD8E"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F2283B">
      <w:rPr>
        <w:rStyle w:val="a5"/>
        <w:noProof/>
        <w:sz w:val="20"/>
        <w:szCs w:val="20"/>
      </w:rPr>
      <w:t>8</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CC5DBD">
      <w:rPr>
        <w:rStyle w:val="a5"/>
        <w:sz w:val="20"/>
        <w:szCs w:val="20"/>
      </w:rPr>
      <w:t>3</w:t>
    </w:r>
    <w:r w:rsidRPr="00726191">
      <w:rPr>
        <w:rStyle w:val="a5"/>
        <w:rFonts w:hint="eastAsia"/>
        <w:sz w:val="20"/>
        <w:szCs w:val="20"/>
      </w:rPr>
      <w:t>0</w:t>
    </w:r>
  </w:p>
  <w:p w14:paraId="6A2ABB07" w14:textId="77777777"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0602B5E"/>
    <w:multiLevelType w:val="hybridMultilevel"/>
    <w:tmpl w:val="BF406B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5FE10172"/>
    <w:multiLevelType w:val="hybridMultilevel"/>
    <w:tmpl w:val="5DACEC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4"/>
  </w:num>
  <w:num w:numId="3">
    <w:abstractNumId w:val="3"/>
  </w:num>
  <w:num w:numId="4">
    <w:abstractNumId w:val="9"/>
  </w:num>
  <w:num w:numId="5">
    <w:abstractNumId w:val="5"/>
  </w:num>
  <w:num w:numId="6">
    <w:abstractNumId w:val="7"/>
  </w:num>
  <w:num w:numId="7">
    <w:abstractNumId w:val="1"/>
  </w:num>
  <w:num w:numId="8">
    <w:abstractNumId w:val="0"/>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3F5"/>
    <w:rsid w:val="0003595B"/>
    <w:rsid w:val="00035EFB"/>
    <w:rsid w:val="000529A1"/>
    <w:rsid w:val="0005660E"/>
    <w:rsid w:val="000713CF"/>
    <w:rsid w:val="000713F5"/>
    <w:rsid w:val="00092CA7"/>
    <w:rsid w:val="000A2CFC"/>
    <w:rsid w:val="000F5540"/>
    <w:rsid w:val="00113A81"/>
    <w:rsid w:val="001539DD"/>
    <w:rsid w:val="00156D1D"/>
    <w:rsid w:val="0017248C"/>
    <w:rsid w:val="00172C79"/>
    <w:rsid w:val="00172D1D"/>
    <w:rsid w:val="00176A1B"/>
    <w:rsid w:val="0019586B"/>
    <w:rsid w:val="00196568"/>
    <w:rsid w:val="001A2F16"/>
    <w:rsid w:val="001B18C2"/>
    <w:rsid w:val="001C619C"/>
    <w:rsid w:val="001D5D7E"/>
    <w:rsid w:val="00254A1B"/>
    <w:rsid w:val="00257A9E"/>
    <w:rsid w:val="0028454D"/>
    <w:rsid w:val="00291350"/>
    <w:rsid w:val="00291C9E"/>
    <w:rsid w:val="002926D4"/>
    <w:rsid w:val="002C07DA"/>
    <w:rsid w:val="002C7EA9"/>
    <w:rsid w:val="002F27E1"/>
    <w:rsid w:val="002F418E"/>
    <w:rsid w:val="0034216C"/>
    <w:rsid w:val="003706F3"/>
    <w:rsid w:val="003809C7"/>
    <w:rsid w:val="003A2D27"/>
    <w:rsid w:val="003B5373"/>
    <w:rsid w:val="003B6263"/>
    <w:rsid w:val="003C2A5B"/>
    <w:rsid w:val="003C64A7"/>
    <w:rsid w:val="003D3FDA"/>
    <w:rsid w:val="00420822"/>
    <w:rsid w:val="00444E43"/>
    <w:rsid w:val="0045458F"/>
    <w:rsid w:val="004633B4"/>
    <w:rsid w:val="00480B03"/>
    <w:rsid w:val="00487F78"/>
    <w:rsid w:val="004A56D2"/>
    <w:rsid w:val="004B3553"/>
    <w:rsid w:val="004D2E86"/>
    <w:rsid w:val="00526E07"/>
    <w:rsid w:val="00530E8C"/>
    <w:rsid w:val="00545933"/>
    <w:rsid w:val="00587875"/>
    <w:rsid w:val="005E03DD"/>
    <w:rsid w:val="00607E2B"/>
    <w:rsid w:val="006169F9"/>
    <w:rsid w:val="00623CE1"/>
    <w:rsid w:val="0063062B"/>
    <w:rsid w:val="00637BE5"/>
    <w:rsid w:val="00667229"/>
    <w:rsid w:val="00676C1D"/>
    <w:rsid w:val="00682BE5"/>
    <w:rsid w:val="00690FED"/>
    <w:rsid w:val="006939A5"/>
    <w:rsid w:val="006A7376"/>
    <w:rsid w:val="006C05A8"/>
    <w:rsid w:val="00712451"/>
    <w:rsid w:val="00726191"/>
    <w:rsid w:val="00732F08"/>
    <w:rsid w:val="0074190C"/>
    <w:rsid w:val="00762576"/>
    <w:rsid w:val="00791060"/>
    <w:rsid w:val="007A7662"/>
    <w:rsid w:val="007B5626"/>
    <w:rsid w:val="007D161E"/>
    <w:rsid w:val="0080570B"/>
    <w:rsid w:val="008148E1"/>
    <w:rsid w:val="00847A46"/>
    <w:rsid w:val="008D0E09"/>
    <w:rsid w:val="008E4412"/>
    <w:rsid w:val="0097693B"/>
    <w:rsid w:val="00993355"/>
    <w:rsid w:val="009A4A6D"/>
    <w:rsid w:val="009C09CD"/>
    <w:rsid w:val="009E0413"/>
    <w:rsid w:val="00A13265"/>
    <w:rsid w:val="00A71136"/>
    <w:rsid w:val="00A80565"/>
    <w:rsid w:val="00AA474C"/>
    <w:rsid w:val="00AD7E5F"/>
    <w:rsid w:val="00B01AA1"/>
    <w:rsid w:val="00B2630C"/>
    <w:rsid w:val="00B30C81"/>
    <w:rsid w:val="00BD7620"/>
    <w:rsid w:val="00BF71AC"/>
    <w:rsid w:val="00C15633"/>
    <w:rsid w:val="00C15799"/>
    <w:rsid w:val="00C357AD"/>
    <w:rsid w:val="00C6069C"/>
    <w:rsid w:val="00CC5DBD"/>
    <w:rsid w:val="00CD5431"/>
    <w:rsid w:val="00CF2491"/>
    <w:rsid w:val="00D57772"/>
    <w:rsid w:val="00D7187E"/>
    <w:rsid w:val="00D75A4D"/>
    <w:rsid w:val="00D8478B"/>
    <w:rsid w:val="00D86151"/>
    <w:rsid w:val="00DA7595"/>
    <w:rsid w:val="00DB0A68"/>
    <w:rsid w:val="00DC43A3"/>
    <w:rsid w:val="00DC6954"/>
    <w:rsid w:val="00DE17D1"/>
    <w:rsid w:val="00DE3816"/>
    <w:rsid w:val="00E0124F"/>
    <w:rsid w:val="00E4680F"/>
    <w:rsid w:val="00E674D3"/>
    <w:rsid w:val="00E70FD0"/>
    <w:rsid w:val="00E74909"/>
    <w:rsid w:val="00E801DB"/>
    <w:rsid w:val="00EB1638"/>
    <w:rsid w:val="00EB5F6C"/>
    <w:rsid w:val="00EF7F4A"/>
    <w:rsid w:val="00F10849"/>
    <w:rsid w:val="00F2283B"/>
    <w:rsid w:val="00F34944"/>
    <w:rsid w:val="00F60CEA"/>
    <w:rsid w:val="00F84067"/>
    <w:rsid w:val="00FC2852"/>
    <w:rsid w:val="00FD626D"/>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1DAA0879"/>
  <w15:chartTrackingRefBased/>
  <w15:docId w15:val="{7214D159-FCBE-4DFF-8B78-5A348F6F7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basedOn w:val="a0"/>
    <w:uiPriority w:val="99"/>
    <w:unhideWhenUsed/>
    <w:rsid w:val="00B2630C"/>
    <w:rPr>
      <w:color w:val="0563C1" w:themeColor="hyperlink"/>
      <w:u w:val="single"/>
    </w:rPr>
  </w:style>
  <w:style w:type="paragraph" w:styleId="ac">
    <w:name w:val="List Paragraph"/>
    <w:basedOn w:val="a"/>
    <w:uiPriority w:val="34"/>
    <w:qFormat/>
    <w:rsid w:val="00B2630C"/>
    <w:pPr>
      <w:spacing w:after="160" w:line="259" w:lineRule="auto"/>
      <w:ind w:left="720"/>
      <w:contextualSpacing/>
    </w:pPr>
    <w:rPr>
      <w:rFonts w:asciiTheme="minorHAnsi" w:eastAsiaTheme="minorHAnsi" w:hAnsiTheme="minorHAnsi" w:cstheme="minorBidi"/>
      <w:sz w:val="22"/>
      <w:szCs w:val="22"/>
      <w:lang w:val="en-AU"/>
    </w:rPr>
  </w:style>
  <w:style w:type="character" w:styleId="ad">
    <w:name w:val="FollowedHyperlink"/>
    <w:basedOn w:val="a0"/>
    <w:rsid w:val="00FC28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acma.gov.au/theACMA/Newsroom/Newsroom/Media-releases/sold-acma-completes-high-value-spectrum-auction" TargetMode="External"/><Relationship Id="rId18" Type="http://schemas.openxmlformats.org/officeDocument/2006/relationships/hyperlink" Target="https://www.itu.int/en/ITU-R/study-groups/rsg5/rwp5a/Pages/default.aspx"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ga.gov.au/scientific-topics/national-location-information/dimensions/area-of-australia-states-and-territories" TargetMode="External"/><Relationship Id="rId7" Type="http://schemas.openxmlformats.org/officeDocument/2006/relationships/image" Target="media/image1.jpeg"/><Relationship Id="rId12" Type="http://schemas.openxmlformats.org/officeDocument/2006/relationships/hyperlink" Target="https://www.acma.gov.au/theACMA/Newsroom/Newsroom/Media-releases/sold-acma-completes-high-value-spectrum-auction" TargetMode="External"/><Relationship Id="rId17" Type="http://schemas.openxmlformats.org/officeDocument/2006/relationships/hyperlink" Target="https://www.itu.int/en/ITU-R/study-groups/Pages/default.aspx"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apt.int/APTAPG" TargetMode="External"/><Relationship Id="rId20" Type="http://schemas.openxmlformats.org/officeDocument/2006/relationships/hyperlink" Target="https://www.darc.de/der-club/distrikte/c/ham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mmunications.gov.au/what-we-do/television/media/acma-review/acma-review-final-report" TargetMode="External"/><Relationship Id="rId24" Type="http://schemas.openxmlformats.org/officeDocument/2006/relationships/hyperlink" Target="https://www.acma.gov.au/theACMA/Consultations/Consultations" TargetMode="External"/><Relationship Id="rId5" Type="http://schemas.openxmlformats.org/officeDocument/2006/relationships/footnotes" Target="footnotes.xml"/><Relationship Id="rId15" Type="http://schemas.openxmlformats.org/officeDocument/2006/relationships/hyperlink" Target="https://www.acma.gov.au/Industry/Spectrum/Spectrum-planning/International-planning-ITU-and-other-international-planning-bodies/preparatory-group-wrc-19" TargetMode="External"/><Relationship Id="rId23" Type="http://schemas.openxmlformats.org/officeDocument/2006/relationships/hyperlink" Target="http://www.broadband-hamnet.org/" TargetMode="External"/><Relationship Id="rId10" Type="http://schemas.openxmlformats.org/officeDocument/2006/relationships/hyperlink" Target="https://en.wikipedia.org/wiki/Starlink_(satellite_constellation)" TargetMode="External"/><Relationship Id="rId19" Type="http://schemas.openxmlformats.org/officeDocument/2006/relationships/hyperlink" Target="https://www.itu.int/en/ITU-R/study-groups/rcpm/Pages/cpm-19.aspx" TargetMode="External"/><Relationship Id="rId4" Type="http://schemas.openxmlformats.org/officeDocument/2006/relationships/webSettings" Target="webSettings.xml"/><Relationship Id="rId9" Type="http://schemas.openxmlformats.org/officeDocument/2006/relationships/hyperlink" Target="https://x.company/loon/" TargetMode="External"/><Relationship Id="rId14" Type="http://schemas.openxmlformats.org/officeDocument/2006/relationships/hyperlink" Target="https://www.itu.int/en/ITU-R/conferences/wrc/2019/Pages/default.aspx" TargetMode="External"/><Relationship Id="rId22" Type="http://schemas.openxmlformats.org/officeDocument/2006/relationships/hyperlink" Target="https://www.darc.de/der-club/distrikte/c/hamnet/"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dio%20Room\AppData\Local\Microsoft\Windows\INetCache\Content.Outlook\HRE4A9LO\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att2Document Template 17R3C.dot</Template>
  <TotalTime>7</TotalTime>
  <Pages>8</Pages>
  <Words>2886</Words>
  <Characters>16673</Characters>
  <Application>Microsoft Office Word</Application>
  <DocSecurity>0</DocSecurity>
  <Lines>138</Lines>
  <Paragraphs>39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19520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Radio Room</dc:creator>
  <cp:keywords/>
  <cp:lastModifiedBy>Yamamoto Ken</cp:lastModifiedBy>
  <cp:revision>6</cp:revision>
  <cp:lastPrinted>2009-02-17T07:56:00Z</cp:lastPrinted>
  <dcterms:created xsi:type="dcterms:W3CDTF">2018-07-26T04:21:00Z</dcterms:created>
  <dcterms:modified xsi:type="dcterms:W3CDTF">2018-08-09T07:16:00Z</dcterms:modified>
</cp:coreProperties>
</file>