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06"/>
        <w:gridCol w:w="6583"/>
        <w:gridCol w:w="1123"/>
      </w:tblGrid>
      <w:tr w:rsidR="000A70BD" w:rsidRPr="0005660E" w14:paraId="67662715" w14:textId="77777777" w:rsidTr="00C0217C">
        <w:trPr>
          <w:trHeight w:val="1276"/>
        </w:trPr>
        <w:tc>
          <w:tcPr>
            <w:tcW w:w="704" w:type="dxa"/>
          </w:tcPr>
          <w:p w14:paraId="201EBD00" w14:textId="77777777" w:rsidR="000A70BD" w:rsidRPr="0005660E" w:rsidRDefault="000A70BD" w:rsidP="00C0217C">
            <w:pPr>
              <w:jc w:val="right"/>
              <w:rPr>
                <w:rFonts w:eastAsia="ＭＳ 明朝"/>
                <w:lang w:eastAsia="ja-JP"/>
              </w:rPr>
            </w:pPr>
            <w:r>
              <w:rPr>
                <w:rFonts w:eastAsia="ＭＳ 明朝"/>
                <w:noProof/>
              </w:rPr>
              <w:drawing>
                <wp:inline distT="0" distB="0" distL="0" distR="0" wp14:anchorId="1ADCB901" wp14:editId="20B2149C">
                  <wp:extent cx="438150" cy="864240"/>
                  <wp:effectExtent l="0" t="0" r="0" b="0"/>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ARU-R3_Logo.jpg"/>
                          <pic:cNvPicPr/>
                        </pic:nvPicPr>
                        <pic:blipFill>
                          <a:blip r:embed="rId6">
                            <a:extLst>
                              <a:ext uri="{28A0092B-C50C-407E-A947-70E740481C1C}">
                                <a14:useLocalDpi xmlns:a14="http://schemas.microsoft.com/office/drawing/2010/main" val="0"/>
                              </a:ext>
                            </a:extLst>
                          </a:blip>
                          <a:stretch>
                            <a:fillRect/>
                          </a:stretch>
                        </pic:blipFill>
                        <pic:spPr>
                          <a:xfrm>
                            <a:off x="0" y="0"/>
                            <a:ext cx="484722" cy="956103"/>
                          </a:xfrm>
                          <a:prstGeom prst="rect">
                            <a:avLst/>
                          </a:prstGeom>
                        </pic:spPr>
                      </pic:pic>
                    </a:graphicData>
                  </a:graphic>
                </wp:inline>
              </w:drawing>
            </w:r>
          </w:p>
        </w:tc>
        <w:tc>
          <w:tcPr>
            <w:tcW w:w="7093" w:type="dxa"/>
          </w:tcPr>
          <w:p w14:paraId="56457E58" w14:textId="77777777" w:rsidR="000A70BD" w:rsidRDefault="000A70BD" w:rsidP="00C0217C">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UNION</w:t>
            </w:r>
          </w:p>
          <w:p w14:paraId="430CCB89" w14:textId="77777777" w:rsidR="000A70BD" w:rsidRDefault="000A70BD" w:rsidP="00C0217C">
            <w:pPr>
              <w:jc w:val="center"/>
              <w:rPr>
                <w:b/>
                <w:smallCaps/>
                <w:sz w:val="30"/>
              </w:rPr>
            </w:pPr>
            <w:r>
              <w:rPr>
                <w:rFonts w:hint="eastAsia"/>
                <w:b/>
                <w:position w:val="6"/>
                <w:sz w:val="30"/>
              </w:rPr>
              <w:t>REGION 3</w:t>
            </w:r>
          </w:p>
          <w:p w14:paraId="5CE9313E" w14:textId="77777777" w:rsidR="000A70BD" w:rsidRPr="009C09CD" w:rsidRDefault="000A70BD" w:rsidP="000A70BD">
            <w:pPr>
              <w:jc w:val="center"/>
              <w:rPr>
                <w:rFonts w:eastAsia="ＭＳ 明朝"/>
                <w:b/>
                <w:sz w:val="30"/>
                <w:szCs w:val="30"/>
                <w:lang w:eastAsia="ja-JP"/>
              </w:rPr>
            </w:pPr>
            <w:r w:rsidRPr="009C09CD">
              <w:rPr>
                <w:rFonts w:eastAsia="ＭＳ 明朝"/>
                <w:b/>
                <w:sz w:val="30"/>
                <w:szCs w:val="30"/>
                <w:lang w:eastAsia="ja-JP"/>
              </w:rPr>
              <w:t>S</w:t>
            </w:r>
            <w:r>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14:paraId="7912F5A1" w14:textId="77777777" w:rsidR="000A70BD" w:rsidRPr="0005660E" w:rsidRDefault="000A70BD" w:rsidP="00C0217C">
            <w:pPr>
              <w:jc w:val="right"/>
              <w:rPr>
                <w:rFonts w:eastAsia="ＭＳ 明朝"/>
                <w:lang w:eastAsia="ja-JP"/>
              </w:rPr>
            </w:pPr>
            <w:r>
              <w:rPr>
                <w:rFonts w:eastAsia="ＭＳ 明朝"/>
                <w:noProof/>
              </w:rPr>
              <w:drawing>
                <wp:inline distT="0" distB="0" distL="0" distR="0" wp14:anchorId="6ACD75D1" wp14:editId="672DC843">
                  <wp:extent cx="576265" cy="909527"/>
                  <wp:effectExtent l="0" t="0" r="0" b="5080"/>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KARL_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06638" cy="957465"/>
                          </a:xfrm>
                          <a:prstGeom prst="rect">
                            <a:avLst/>
                          </a:prstGeom>
                        </pic:spPr>
                      </pic:pic>
                    </a:graphicData>
                  </a:graphic>
                </wp:inline>
              </w:drawing>
            </w:r>
          </w:p>
        </w:tc>
      </w:tr>
    </w:tbl>
    <w:p w14:paraId="54F64BBC" w14:textId="77777777" w:rsidR="000A70BD" w:rsidRDefault="000A70BD" w:rsidP="000A70BD">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Pr>
          <w:rFonts w:hint="eastAsia"/>
          <w:sz w:val="21"/>
          <w:lang w:val="en-US"/>
        </w:rPr>
        <w:t xml:space="preserve">0 </w:t>
      </w:r>
      <w:r>
        <w:rPr>
          <w:sz w:val="21"/>
          <w:lang w:val="en-US"/>
        </w:rPr>
        <w:t>–</w:t>
      </w:r>
      <w:r>
        <w:rPr>
          <w:rFonts w:hint="eastAsia"/>
          <w:sz w:val="21"/>
          <w:lang w:val="en-US"/>
        </w:rPr>
        <w:t xml:space="preserve"> </w:t>
      </w:r>
      <w:r>
        <w:rPr>
          <w:sz w:val="21"/>
          <w:lang w:val="en-US"/>
        </w:rPr>
        <w:t>14</w:t>
      </w:r>
      <w:r>
        <w:rPr>
          <w:rFonts w:hint="eastAsia"/>
          <w:sz w:val="21"/>
          <w:lang w:val="en-US"/>
        </w:rPr>
        <w:t xml:space="preserve"> </w:t>
      </w:r>
      <w:r>
        <w:rPr>
          <w:sz w:val="21"/>
          <w:lang w:val="en-US"/>
        </w:rPr>
        <w:t>Septem</w:t>
      </w:r>
      <w:r>
        <w:rPr>
          <w:rFonts w:hint="eastAsia"/>
          <w:sz w:val="21"/>
          <w:lang w:val="en-US"/>
        </w:rPr>
        <w:t>ber 201</w:t>
      </w:r>
      <w:r>
        <w:rPr>
          <w:sz w:val="21"/>
          <w:lang w:val="en-US"/>
        </w:rPr>
        <w:t>8</w:t>
      </w:r>
      <w:r>
        <w:rPr>
          <w:rFonts w:hint="eastAsia"/>
          <w:sz w:val="21"/>
          <w:lang w:val="en-US"/>
        </w:rPr>
        <w:tab/>
      </w:r>
      <w:r>
        <w:rPr>
          <w:sz w:val="21"/>
          <w:lang w:val="en-US"/>
        </w:rPr>
        <w:t>Seoul, Korea</w:t>
      </w:r>
    </w:p>
    <w:p w14:paraId="07C455D9" w14:textId="77777777" w:rsidR="000A70BD" w:rsidRDefault="000A70BD" w:rsidP="000A70BD">
      <w:pPr>
        <w:pStyle w:val="Data"/>
        <w:rPr>
          <w:sz w:val="20"/>
          <w:lang w:val="en-US"/>
        </w:rPr>
      </w:pPr>
    </w:p>
    <w:p w14:paraId="121E248D" w14:textId="6FDD6CA1" w:rsidR="000A70BD" w:rsidRDefault="000A70BD" w:rsidP="000A70BD">
      <w:pPr>
        <w:pStyle w:val="Head"/>
        <w:tabs>
          <w:tab w:val="clear" w:pos="6663"/>
        </w:tabs>
        <w:wordWrap w:val="0"/>
        <w:ind w:rightChars="-70" w:right="-168"/>
        <w:jc w:val="right"/>
        <w:rPr>
          <w:lang w:val="en-US"/>
        </w:rPr>
      </w:pPr>
      <w:r>
        <w:rPr>
          <w:b/>
          <w:lang w:val="en-US"/>
        </w:rPr>
        <w:t xml:space="preserve">Document </w:t>
      </w:r>
      <w:r>
        <w:rPr>
          <w:rFonts w:hint="eastAsia"/>
          <w:b/>
          <w:lang w:val="en-US"/>
        </w:rPr>
        <w:t>No. 1</w:t>
      </w:r>
      <w:r>
        <w:rPr>
          <w:b/>
          <w:lang w:val="en-US"/>
        </w:rPr>
        <w:t>8</w:t>
      </w:r>
      <w:r>
        <w:rPr>
          <w:rFonts w:hint="eastAsia"/>
          <w:b/>
          <w:lang w:val="en-US"/>
        </w:rPr>
        <w:t>/XV</w:t>
      </w:r>
      <w:r>
        <w:rPr>
          <w:b/>
          <w:lang w:val="en-US"/>
        </w:rPr>
        <w:t>II</w:t>
      </w:r>
      <w:r>
        <w:rPr>
          <w:rFonts w:hint="eastAsia"/>
          <w:b/>
          <w:lang w:val="en-US"/>
        </w:rPr>
        <w:t>/</w:t>
      </w:r>
      <w:r w:rsidR="00DA385A">
        <w:rPr>
          <w:rFonts w:hint="eastAsia"/>
          <w:b/>
          <w:lang w:val="en-US"/>
        </w:rPr>
        <w:t>0</w:t>
      </w:r>
      <w:r w:rsidR="00DA385A">
        <w:rPr>
          <w:b/>
          <w:lang w:val="en-US"/>
        </w:rPr>
        <w:t>43</w:t>
      </w:r>
    </w:p>
    <w:p w14:paraId="296CE9F9" w14:textId="70426692" w:rsidR="000A70BD" w:rsidRPr="00432D4B" w:rsidRDefault="000A70BD" w:rsidP="000A70BD">
      <w:pPr>
        <w:pStyle w:val="Head"/>
        <w:tabs>
          <w:tab w:val="clear" w:pos="6663"/>
        </w:tabs>
        <w:wordWrap w:val="0"/>
        <w:ind w:rightChars="-70" w:right="-168"/>
        <w:jc w:val="right"/>
        <w:rPr>
          <w:rFonts w:asciiTheme="minorHAnsi" w:hAnsiTheme="minorHAnsi"/>
          <w:b/>
          <w:sz w:val="22"/>
          <w:szCs w:val="22"/>
        </w:rPr>
      </w:pPr>
      <w:r>
        <w:rPr>
          <w:rFonts w:hint="eastAsia"/>
          <w:lang w:val="en-US"/>
        </w:rPr>
        <w:t xml:space="preserve">Agenda Item: </w:t>
      </w:r>
      <w:r w:rsidR="00145264">
        <w:rPr>
          <w:lang w:val="en-US"/>
        </w:rPr>
        <w:t>11.5</w:t>
      </w:r>
    </w:p>
    <w:p w14:paraId="5258CA80" w14:textId="6408B857" w:rsidR="00CA7570" w:rsidRDefault="008A0D7A" w:rsidP="00CA7570">
      <w:pPr>
        <w:pStyle w:val="1"/>
        <w:tabs>
          <w:tab w:val="clear" w:pos="794"/>
          <w:tab w:val="clear" w:pos="1191"/>
          <w:tab w:val="clear" w:pos="1588"/>
          <w:tab w:val="clear" w:pos="1985"/>
        </w:tabs>
        <w:jc w:val="center"/>
        <w:rPr>
          <w:b/>
          <w:bCs/>
          <w:lang w:val="en-US"/>
        </w:rPr>
      </w:pPr>
      <w:r>
        <w:rPr>
          <w:b/>
          <w:bCs/>
          <w:lang w:val="en-US"/>
        </w:rPr>
        <w:t>Harmonization</w:t>
      </w:r>
      <w:r w:rsidR="005340D1">
        <w:rPr>
          <w:b/>
          <w:bCs/>
          <w:lang w:val="en-US"/>
        </w:rPr>
        <w:t xml:space="preserve"> of W</w:t>
      </w:r>
      <w:r w:rsidR="00E61A47">
        <w:rPr>
          <w:b/>
          <w:bCs/>
          <w:lang w:val="en-US"/>
        </w:rPr>
        <w:t>orldwide 2M APRS Frequency</w:t>
      </w:r>
      <w:bookmarkStart w:id="0" w:name="_GoBack"/>
      <w:bookmarkEnd w:id="0"/>
    </w:p>
    <w:p w14:paraId="335D708F" w14:textId="77777777" w:rsidR="00CA7570" w:rsidRDefault="00CA7570" w:rsidP="00CA7570">
      <w:pPr>
        <w:pStyle w:val="Subject"/>
        <w:tabs>
          <w:tab w:val="clear" w:pos="1134"/>
        </w:tabs>
        <w:ind w:left="0" w:firstLine="0"/>
        <w:rPr>
          <w:lang w:val="en-US"/>
        </w:rPr>
      </w:pPr>
    </w:p>
    <w:p w14:paraId="22B3F28C" w14:textId="3BED063F" w:rsidR="00CA7570" w:rsidRDefault="00E61A47" w:rsidP="00CA7570">
      <w:pPr>
        <w:rPr>
          <w:rFonts w:eastAsia="ＭＳ 明朝"/>
          <w:lang w:eastAsia="ja-JP"/>
        </w:rPr>
      </w:pPr>
      <w:r>
        <w:rPr>
          <w:rFonts w:eastAsia="ＭＳ 明朝"/>
          <w:lang w:eastAsia="ja-JP"/>
        </w:rPr>
        <w:t xml:space="preserve">The intention of this document is to put on record the proposal made </w:t>
      </w:r>
      <w:r w:rsidR="007D50F3">
        <w:rPr>
          <w:rFonts w:eastAsia="ＭＳ 明朝"/>
          <w:lang w:eastAsia="ja-JP"/>
        </w:rPr>
        <w:t>by CTARL and MARTS during the 16</w:t>
      </w:r>
      <w:r>
        <w:rPr>
          <w:rFonts w:eastAsia="ＭＳ 明朝"/>
          <w:lang w:eastAsia="ja-JP"/>
        </w:rPr>
        <w:t>th IARU Region 3 conferen</w:t>
      </w:r>
      <w:r w:rsidR="007D50F3">
        <w:rPr>
          <w:rFonts w:eastAsia="ＭＳ 明朝"/>
          <w:lang w:eastAsia="ja-JP"/>
        </w:rPr>
        <w:t xml:space="preserve">ce 2015 held in Bali, Indonesia to </w:t>
      </w:r>
      <w:r w:rsidR="005340D1">
        <w:rPr>
          <w:rFonts w:eastAsia="ＭＳ 明朝"/>
          <w:lang w:eastAsia="ja-JP"/>
        </w:rPr>
        <w:t xml:space="preserve">harmonize </w:t>
      </w:r>
      <w:r w:rsidR="007D50F3">
        <w:rPr>
          <w:rFonts w:eastAsia="ＭＳ 明朝"/>
          <w:lang w:eastAsia="ja-JP"/>
        </w:rPr>
        <w:t xml:space="preserve">the worldwide 2M 1200 </w:t>
      </w:r>
      <w:r w:rsidR="005340D1">
        <w:rPr>
          <w:rFonts w:eastAsia="ＭＳ 明朝"/>
          <w:lang w:eastAsia="ja-JP"/>
        </w:rPr>
        <w:t>B</w:t>
      </w:r>
      <w:r w:rsidR="007D50F3">
        <w:rPr>
          <w:rFonts w:eastAsia="ＭＳ 明朝"/>
          <w:lang w:eastAsia="ja-JP"/>
        </w:rPr>
        <w:t>aud AX.25 Automatic Packet Reporting System (APRS) frequency worldwide.</w:t>
      </w:r>
      <w:r w:rsidR="005340D1">
        <w:rPr>
          <w:rFonts w:eastAsia="ＭＳ 明朝"/>
          <w:lang w:eastAsia="ja-JP"/>
        </w:rPr>
        <w:t xml:space="preserve">  </w:t>
      </w:r>
    </w:p>
    <w:p w14:paraId="206CA21A" w14:textId="77777777" w:rsidR="00E61A47" w:rsidRDefault="00E61A47" w:rsidP="00CA7570">
      <w:pPr>
        <w:rPr>
          <w:rFonts w:eastAsia="ＭＳ 明朝"/>
          <w:lang w:eastAsia="ja-JP"/>
        </w:rPr>
      </w:pPr>
    </w:p>
    <w:p w14:paraId="19A9DDC4" w14:textId="0D0B19D6" w:rsidR="0010436D" w:rsidRDefault="007D50F3" w:rsidP="0010436D">
      <w:pPr>
        <w:rPr>
          <w:rFonts w:eastAsia="ＭＳ 明朝"/>
          <w:lang w:eastAsia="ja-JP"/>
        </w:rPr>
      </w:pPr>
      <w:r>
        <w:rPr>
          <w:rFonts w:eastAsia="ＭＳ 明朝"/>
          <w:lang w:eastAsia="ja-JP"/>
        </w:rPr>
        <w:t>APRS is an open standard messaging, position track</w:t>
      </w:r>
      <w:r w:rsidR="0010436D">
        <w:rPr>
          <w:rFonts w:eastAsia="ＭＳ 明朝"/>
          <w:lang w:eastAsia="ja-JP"/>
        </w:rPr>
        <w:t xml:space="preserve">ing and reporting system.  It is widely adopted by a wide number of equipment manufacturers and is today more or less a ‘brand’ independent or open system.  Standardizing this frequency </w:t>
      </w:r>
      <w:r w:rsidR="005340D1">
        <w:rPr>
          <w:rFonts w:eastAsia="ＭＳ 明朝"/>
          <w:lang w:eastAsia="ja-JP"/>
        </w:rPr>
        <w:t xml:space="preserve">terrestrially </w:t>
      </w:r>
      <w:r w:rsidR="0010436D">
        <w:rPr>
          <w:rFonts w:eastAsia="ＭＳ 明朝"/>
          <w:lang w:eastAsia="ja-JP"/>
        </w:rPr>
        <w:t>particularly on the commonly utilized 2M band will allow amateurs travelling across countries to easily connect back with the APRS network without having to find ou</w:t>
      </w:r>
      <w:r w:rsidR="005340D1">
        <w:rPr>
          <w:rFonts w:eastAsia="ＭＳ 明朝"/>
          <w:lang w:eastAsia="ja-JP"/>
        </w:rPr>
        <w:t>t the local frequencies in use.  I</w:t>
      </w:r>
      <w:r w:rsidR="0010436D">
        <w:rPr>
          <w:rFonts w:eastAsia="ＭＳ 明朝"/>
          <w:lang w:eastAsia="ja-JP"/>
        </w:rPr>
        <w:t xml:space="preserve">n addition to the above, APRS also allows the local related information such as weather, local repeaters, IRLP gateways, satellite passes, eyeball gatherings, </w:t>
      </w:r>
      <w:proofErr w:type="spellStart"/>
      <w:r w:rsidR="0010436D">
        <w:rPr>
          <w:rFonts w:eastAsia="ＭＳ 明朝"/>
          <w:lang w:eastAsia="ja-JP"/>
        </w:rPr>
        <w:t>hamfests</w:t>
      </w:r>
      <w:proofErr w:type="spellEnd"/>
      <w:r w:rsidR="0010436D">
        <w:rPr>
          <w:rFonts w:eastAsia="ＭＳ 明朝"/>
          <w:lang w:eastAsia="ja-JP"/>
        </w:rPr>
        <w:t xml:space="preserve"> and other useful information to be passed to the RF user.  This in turn is very helpful to the travelling amateur as he will be able to get information of the local repeaters, and etc. to connect to.</w:t>
      </w:r>
    </w:p>
    <w:p w14:paraId="6EE98B4A" w14:textId="669B9AC4" w:rsidR="007D50F3" w:rsidRDefault="007D50F3" w:rsidP="00CA7570">
      <w:pPr>
        <w:rPr>
          <w:rFonts w:eastAsia="ＭＳ 明朝"/>
          <w:lang w:eastAsia="ja-JP"/>
        </w:rPr>
      </w:pPr>
    </w:p>
    <w:p w14:paraId="7DEAD5CB" w14:textId="34212B3D" w:rsidR="005340D1" w:rsidRDefault="005340D1" w:rsidP="00CA7570">
      <w:pPr>
        <w:rPr>
          <w:rFonts w:eastAsia="ＭＳ 明朝"/>
          <w:lang w:eastAsia="ja-JP"/>
        </w:rPr>
      </w:pPr>
      <w:r>
        <w:rPr>
          <w:rFonts w:eastAsia="ＭＳ 明朝"/>
          <w:lang w:eastAsia="ja-JP"/>
        </w:rPr>
        <w:t>With the ever-increasing amateur satellites carrying APRS payload launched these days, harmonizing the APRS frequency in the amateur satellite service is another advantage to remote APRS users, especially those who might be out of the reach of the terrestrial APRS network.  Since 145.825 MHz is the frequency used by many amateur satellites serving APRS as well as the International Space Station (ISS), we propose that this frequency be adopted as the worldwide APRS frequency t</w:t>
      </w:r>
      <w:r w:rsidR="00EC4379">
        <w:rPr>
          <w:rFonts w:eastAsia="ＭＳ 明朝"/>
          <w:lang w:eastAsia="ja-JP"/>
        </w:rPr>
        <w:t>o be used in the amateur satellite service.</w:t>
      </w:r>
    </w:p>
    <w:p w14:paraId="3518CFA6" w14:textId="77777777" w:rsidR="005340D1" w:rsidRDefault="005340D1" w:rsidP="00CA7570">
      <w:pPr>
        <w:rPr>
          <w:rFonts w:eastAsia="ＭＳ 明朝"/>
          <w:lang w:eastAsia="ja-JP"/>
        </w:rPr>
      </w:pPr>
    </w:p>
    <w:p w14:paraId="687208CD" w14:textId="79C89C40" w:rsidR="007B40EE" w:rsidRDefault="0010436D" w:rsidP="00CA7570">
      <w:pPr>
        <w:rPr>
          <w:rFonts w:eastAsia="ＭＳ 明朝"/>
          <w:lang w:eastAsia="ja-JP"/>
        </w:rPr>
      </w:pPr>
      <w:r>
        <w:rPr>
          <w:rFonts w:eastAsia="ＭＳ 明朝"/>
          <w:lang w:eastAsia="ja-JP"/>
        </w:rPr>
        <w:t>Another reason as to why the 2M band is chosen over other bands is because the 2M band is available in most countries around the wor</w:t>
      </w:r>
      <w:r w:rsidR="007B40EE">
        <w:rPr>
          <w:rFonts w:eastAsia="ＭＳ 明朝"/>
          <w:lang w:eastAsia="ja-JP"/>
        </w:rPr>
        <w:t xml:space="preserve">ld.  And even if there are any </w:t>
      </w:r>
      <w:r w:rsidR="007B40EE">
        <w:rPr>
          <w:rFonts w:eastAsia="ＭＳ 明朝"/>
          <w:lang w:eastAsia="ja-JP"/>
        </w:rPr>
        <w:lastRenderedPageBreak/>
        <w:t>concerns</w:t>
      </w:r>
      <w:r>
        <w:rPr>
          <w:rFonts w:eastAsia="ＭＳ 明朝"/>
          <w:lang w:eastAsia="ja-JP"/>
        </w:rPr>
        <w:t xml:space="preserve"> regarding the type of reciprocal license to be issued, the 2M band is almost always given although the maximum TX power may be reduced.</w:t>
      </w:r>
    </w:p>
    <w:p w14:paraId="57AEDD57" w14:textId="77777777" w:rsidR="00E61A47" w:rsidRDefault="00E61A47" w:rsidP="00CA7570">
      <w:pPr>
        <w:rPr>
          <w:rFonts w:eastAsia="ＭＳ 明朝"/>
          <w:lang w:eastAsia="ja-JP"/>
        </w:rPr>
      </w:pPr>
    </w:p>
    <w:p w14:paraId="5119DE35" w14:textId="6C90BBF4" w:rsidR="007B40EE" w:rsidRDefault="00E61A47" w:rsidP="00CA7570">
      <w:pPr>
        <w:rPr>
          <w:rFonts w:eastAsia="ＭＳ 明朝"/>
          <w:lang w:eastAsia="ja-JP"/>
        </w:rPr>
      </w:pPr>
      <w:r>
        <w:rPr>
          <w:rFonts w:eastAsia="ＭＳ 明朝"/>
          <w:lang w:eastAsia="ja-JP"/>
        </w:rPr>
        <w:t xml:space="preserve">The use of a </w:t>
      </w:r>
      <w:r w:rsidR="0010436D">
        <w:rPr>
          <w:rFonts w:eastAsia="ＭＳ 明朝"/>
          <w:lang w:eastAsia="ja-JP"/>
        </w:rPr>
        <w:t>global frequency for APRS will also i</w:t>
      </w:r>
      <w:r>
        <w:rPr>
          <w:rFonts w:eastAsia="ＭＳ 明朝"/>
          <w:lang w:eastAsia="ja-JP"/>
        </w:rPr>
        <w:t>ndirectly aid VHF propagation studies and allow an automated alerting system for band openings such as sporadic-E and Meteor scatter.  To realize this, the use of compressed beacons</w:t>
      </w:r>
      <w:r w:rsidR="007B40EE">
        <w:rPr>
          <w:rFonts w:eastAsia="ＭＳ 明朝"/>
          <w:lang w:eastAsia="ja-JP"/>
        </w:rPr>
        <w:t xml:space="preserve"> (MIC-E formatted beacons) are advocated </w:t>
      </w:r>
      <w:r>
        <w:rPr>
          <w:rFonts w:eastAsia="ＭＳ 明朝"/>
          <w:lang w:eastAsia="ja-JP"/>
        </w:rPr>
        <w:t>due to its shorter packet length and better ability to take advantage of band openings.</w:t>
      </w:r>
    </w:p>
    <w:p w14:paraId="29D3522D" w14:textId="77777777" w:rsidR="00E61A47" w:rsidRDefault="00E61A47" w:rsidP="00CA7570">
      <w:pPr>
        <w:rPr>
          <w:rFonts w:eastAsia="ＭＳ 明朝"/>
          <w:lang w:eastAsia="ja-JP"/>
        </w:rPr>
      </w:pPr>
    </w:p>
    <w:p w14:paraId="5EF042DF" w14:textId="7F2E2068" w:rsidR="00E61A47" w:rsidRDefault="00E61A47" w:rsidP="00CA7570">
      <w:pPr>
        <w:rPr>
          <w:rFonts w:eastAsia="ＭＳ 明朝"/>
          <w:lang w:eastAsia="ja-JP"/>
        </w:rPr>
      </w:pPr>
      <w:r>
        <w:rPr>
          <w:rFonts w:eastAsia="ＭＳ 明朝"/>
          <w:lang w:eastAsia="ja-JP"/>
        </w:rPr>
        <w:t xml:space="preserve">Around the South East Asia region, Malaysia, </w:t>
      </w:r>
      <w:r w:rsidR="005340D1">
        <w:rPr>
          <w:rFonts w:eastAsia="ＭＳ 明朝"/>
          <w:lang w:eastAsia="ja-JP"/>
        </w:rPr>
        <w:t xml:space="preserve">Indonesia, </w:t>
      </w:r>
      <w:r>
        <w:rPr>
          <w:rFonts w:eastAsia="ＭＳ 明朝"/>
          <w:lang w:eastAsia="ja-JP"/>
        </w:rPr>
        <w:t>Thailand and Laos is currently running 1200 baud AX.25 APRS on 144.390 MHz.  The same frequency is also used in North America.</w:t>
      </w:r>
    </w:p>
    <w:p w14:paraId="6C6C9B1B" w14:textId="77777777" w:rsidR="00CA7570" w:rsidRDefault="00CA7570" w:rsidP="00CA7570">
      <w:pPr>
        <w:rPr>
          <w:rFonts w:eastAsia="ＭＳ 明朝"/>
          <w:lang w:eastAsia="ja-JP"/>
        </w:rPr>
      </w:pPr>
    </w:p>
    <w:p w14:paraId="373C4767" w14:textId="11734238" w:rsidR="00CA7570" w:rsidRPr="004078A2" w:rsidRDefault="005340D1" w:rsidP="00CA7570">
      <w:pPr>
        <w:rPr>
          <w:rFonts w:eastAsia="ＭＳ 明朝"/>
          <w:b/>
          <w:lang w:eastAsia="ja-JP"/>
        </w:rPr>
      </w:pPr>
      <w:r w:rsidRPr="005340D1">
        <w:rPr>
          <w:rFonts w:eastAsia="ＭＳ 明朝"/>
          <w:b/>
          <w:lang w:eastAsia="ja-JP"/>
        </w:rPr>
        <w:t>Sion Chow Q. C.,</w:t>
      </w:r>
      <w:r w:rsidRPr="005340D1">
        <w:rPr>
          <w:rFonts w:eastAsia="ＭＳ 明朝"/>
          <w:b/>
          <w:lang w:eastAsia="ja-JP"/>
        </w:rPr>
        <w:br/>
        <w:t>9M2CQC, WQ2C /HL1, 9V1QC, JG1XHM</w:t>
      </w:r>
    </w:p>
    <w:p w14:paraId="1E8BFF94" w14:textId="77777777" w:rsidR="00CA7570" w:rsidRDefault="00CA7570" w:rsidP="00CA7570">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14:paraId="7BD89D57" w14:textId="77777777" w:rsidR="00CA7570" w:rsidRPr="00156D1D" w:rsidRDefault="00CA7570" w:rsidP="00CA7570">
      <w:pPr>
        <w:rPr>
          <w:rFonts w:eastAsia="ＭＳ 明朝"/>
          <w:lang w:eastAsia="ja-JP"/>
        </w:rPr>
      </w:pPr>
    </w:p>
    <w:p w14:paraId="401904DF" w14:textId="77777777" w:rsidR="009322D5" w:rsidRDefault="009322D5"/>
    <w:sectPr w:rsidR="009322D5" w:rsidSect="00CA7570">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B38270" w14:textId="77777777" w:rsidR="00797DE0" w:rsidRDefault="00797DE0" w:rsidP="00CA7570">
      <w:r>
        <w:separator/>
      </w:r>
    </w:p>
  </w:endnote>
  <w:endnote w:type="continuationSeparator" w:id="0">
    <w:p w14:paraId="4EBF3A02" w14:textId="77777777" w:rsidR="00797DE0" w:rsidRDefault="00797DE0" w:rsidP="00CA7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BatangChe">
    <w:altName w:val="BatangChe"/>
    <w:charset w:val="81"/>
    <w:family w:val="modern"/>
    <w:pitch w:val="fixed"/>
    <w:sig w:usb0="B00002AF" w:usb1="69D77CFB" w:usb2="00000030" w:usb3="00000000" w:csb0="0008009F" w:csb1="00000000"/>
  </w:font>
  <w:font w:name="Lucida Grande">
    <w:charset w:val="00"/>
    <w:family w:val="auto"/>
    <w:pitch w:val="variable"/>
    <w:sig w:usb0="E1000AEF" w:usb1="5000A1FF" w:usb2="00000000" w:usb3="00000000" w:csb0="000001B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4F2985" w14:textId="77777777" w:rsidR="00DA385A" w:rsidRDefault="00DA385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CFCC6F" w14:textId="77777777" w:rsidR="00DA385A" w:rsidRDefault="00DA385A">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3D478" w14:textId="77777777" w:rsidR="00DA385A" w:rsidRDefault="00DA385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A7566D" w14:textId="77777777" w:rsidR="00797DE0" w:rsidRDefault="00797DE0" w:rsidP="00CA7570">
      <w:r>
        <w:separator/>
      </w:r>
    </w:p>
  </w:footnote>
  <w:footnote w:type="continuationSeparator" w:id="0">
    <w:p w14:paraId="40C5F108" w14:textId="77777777" w:rsidR="00797DE0" w:rsidRDefault="00797DE0" w:rsidP="00CA75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BFC07" w14:textId="77777777" w:rsidR="00DA385A" w:rsidRDefault="00DA385A">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CCD23B" w14:textId="2B3F1675" w:rsidR="004B1869" w:rsidRPr="00CA7570" w:rsidRDefault="004B1869" w:rsidP="00CA7570">
    <w:pPr>
      <w:pStyle w:val="a3"/>
      <w:jc w:val="center"/>
      <w:rPr>
        <w:sz w:val="21"/>
        <w:szCs w:val="21"/>
      </w:rPr>
    </w:pPr>
    <w:r w:rsidRPr="00726191">
      <w:rPr>
        <w:sz w:val="20"/>
        <w:szCs w:val="20"/>
      </w:rPr>
      <w:t xml:space="preserve">- </w:t>
    </w:r>
    <w:r w:rsidRPr="00726191">
      <w:rPr>
        <w:rStyle w:val="a7"/>
        <w:sz w:val="20"/>
        <w:szCs w:val="20"/>
      </w:rPr>
      <w:fldChar w:fldCharType="begin"/>
    </w:r>
    <w:r w:rsidRPr="00726191">
      <w:rPr>
        <w:rStyle w:val="a7"/>
        <w:sz w:val="20"/>
        <w:szCs w:val="20"/>
      </w:rPr>
      <w:instrText xml:space="preserve"> PAGE </w:instrText>
    </w:r>
    <w:r w:rsidRPr="00726191">
      <w:rPr>
        <w:rStyle w:val="a7"/>
        <w:sz w:val="20"/>
        <w:szCs w:val="20"/>
      </w:rPr>
      <w:fldChar w:fldCharType="separate"/>
    </w:r>
    <w:r w:rsidR="004078A2">
      <w:rPr>
        <w:rStyle w:val="a7"/>
        <w:noProof/>
        <w:sz w:val="20"/>
        <w:szCs w:val="20"/>
      </w:rPr>
      <w:t>2</w:t>
    </w:r>
    <w:r w:rsidRPr="00726191">
      <w:rPr>
        <w:rStyle w:val="a7"/>
        <w:sz w:val="20"/>
        <w:szCs w:val="20"/>
      </w:rPr>
      <w:fldChar w:fldCharType="end"/>
    </w:r>
    <w:r w:rsidRPr="00726191">
      <w:rPr>
        <w:rStyle w:val="a7"/>
        <w:sz w:val="20"/>
        <w:szCs w:val="20"/>
      </w:rPr>
      <w:t xml:space="preserve"> </w:t>
    </w:r>
    <w:r w:rsidRPr="00726191">
      <w:rPr>
        <w:rStyle w:val="a7"/>
        <w:rFonts w:hint="eastAsia"/>
        <w:sz w:val="20"/>
        <w:szCs w:val="20"/>
      </w:rPr>
      <w:t>-</w:t>
    </w:r>
    <w:r w:rsidRPr="00726191">
      <w:rPr>
        <w:rStyle w:val="a7"/>
        <w:sz w:val="20"/>
        <w:szCs w:val="20"/>
      </w:rPr>
      <w:br/>
    </w:r>
    <w:r w:rsidRPr="00CA7570">
      <w:rPr>
        <w:b/>
        <w:sz w:val="21"/>
        <w:szCs w:val="21"/>
      </w:rPr>
      <w:t xml:space="preserve">Document </w:t>
    </w:r>
    <w:r w:rsidRPr="00CA7570">
      <w:rPr>
        <w:rFonts w:hint="eastAsia"/>
        <w:b/>
        <w:sz w:val="21"/>
        <w:szCs w:val="21"/>
      </w:rPr>
      <w:t>No. 1</w:t>
    </w:r>
    <w:r w:rsidRPr="00CA7570">
      <w:rPr>
        <w:b/>
        <w:sz w:val="21"/>
        <w:szCs w:val="21"/>
      </w:rPr>
      <w:t>8</w:t>
    </w:r>
    <w:r w:rsidRPr="00CA7570">
      <w:rPr>
        <w:rFonts w:hint="eastAsia"/>
        <w:b/>
        <w:sz w:val="21"/>
        <w:szCs w:val="21"/>
      </w:rPr>
      <w:t>/XV</w:t>
    </w:r>
    <w:r w:rsidRPr="00CA7570">
      <w:rPr>
        <w:b/>
        <w:sz w:val="21"/>
        <w:szCs w:val="21"/>
      </w:rPr>
      <w:t>II</w:t>
    </w:r>
    <w:r w:rsidRPr="00CA7570">
      <w:rPr>
        <w:rFonts w:hint="eastAsia"/>
        <w:b/>
        <w:sz w:val="21"/>
        <w:szCs w:val="21"/>
      </w:rPr>
      <w:t>/</w:t>
    </w:r>
    <w:r w:rsidR="00DA385A">
      <w:rPr>
        <w:b/>
        <w:sz w:val="21"/>
        <w:szCs w:val="21"/>
      </w:rPr>
      <w:t>043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6E843" w14:textId="77777777" w:rsidR="00DA385A" w:rsidRDefault="00DA385A">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70BD"/>
    <w:rsid w:val="000A419E"/>
    <w:rsid w:val="000A70BD"/>
    <w:rsid w:val="0010436D"/>
    <w:rsid w:val="00145264"/>
    <w:rsid w:val="004078A2"/>
    <w:rsid w:val="004B1869"/>
    <w:rsid w:val="005340D1"/>
    <w:rsid w:val="00797DE0"/>
    <w:rsid w:val="007B40EE"/>
    <w:rsid w:val="007D50F3"/>
    <w:rsid w:val="008A0D7A"/>
    <w:rsid w:val="00900032"/>
    <w:rsid w:val="009322D5"/>
    <w:rsid w:val="00B0261F"/>
    <w:rsid w:val="00C0217C"/>
    <w:rsid w:val="00C35306"/>
    <w:rsid w:val="00CA7570"/>
    <w:rsid w:val="00DA385A"/>
    <w:rsid w:val="00E61A47"/>
    <w:rsid w:val="00EC43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7B88008E"/>
  <w15:docId w15:val="{8508E42D-F04D-42CC-B1EF-7033A317F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A70BD"/>
    <w:rPr>
      <w:rFonts w:ascii="Times New Roman" w:eastAsia="BatangChe" w:hAnsi="Times New Roman" w:cs="Times New Roman"/>
      <w:kern w:val="0"/>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
    <w:name w:val="Head"/>
    <w:basedOn w:val="a"/>
    <w:rsid w:val="000A70BD"/>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0A70BD"/>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0A70BD"/>
  </w:style>
  <w:style w:type="paragraph" w:styleId="1">
    <w:name w:val="index 1"/>
    <w:basedOn w:val="a"/>
    <w:next w:val="a"/>
    <w:rsid w:val="00CA7570"/>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Table">
    <w:name w:val="Table_#"/>
    <w:basedOn w:val="a"/>
    <w:next w:val="a"/>
    <w:rsid w:val="00CA7570"/>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3">
    <w:name w:val="header"/>
    <w:basedOn w:val="a"/>
    <w:link w:val="a4"/>
    <w:unhideWhenUsed/>
    <w:rsid w:val="00CA7570"/>
    <w:pPr>
      <w:tabs>
        <w:tab w:val="center" w:pos="4252"/>
        <w:tab w:val="right" w:pos="8504"/>
      </w:tabs>
      <w:snapToGrid w:val="0"/>
    </w:pPr>
  </w:style>
  <w:style w:type="character" w:customStyle="1" w:styleId="a4">
    <w:name w:val="ヘッダー (文字)"/>
    <w:basedOn w:val="a0"/>
    <w:link w:val="a3"/>
    <w:rsid w:val="00CA7570"/>
    <w:rPr>
      <w:rFonts w:ascii="Times New Roman" w:eastAsia="BatangChe" w:hAnsi="Times New Roman" w:cs="Times New Roman"/>
      <w:kern w:val="0"/>
      <w:sz w:val="24"/>
      <w:szCs w:val="24"/>
      <w:lang w:eastAsia="en-US"/>
    </w:rPr>
  </w:style>
  <w:style w:type="paragraph" w:styleId="a5">
    <w:name w:val="footer"/>
    <w:basedOn w:val="a"/>
    <w:link w:val="a6"/>
    <w:uiPriority w:val="99"/>
    <w:unhideWhenUsed/>
    <w:rsid w:val="00CA7570"/>
    <w:pPr>
      <w:tabs>
        <w:tab w:val="center" w:pos="4252"/>
        <w:tab w:val="right" w:pos="8504"/>
      </w:tabs>
      <w:snapToGrid w:val="0"/>
    </w:pPr>
  </w:style>
  <w:style w:type="character" w:customStyle="1" w:styleId="a6">
    <w:name w:val="フッター (文字)"/>
    <w:basedOn w:val="a0"/>
    <w:link w:val="a5"/>
    <w:uiPriority w:val="99"/>
    <w:rsid w:val="00CA7570"/>
    <w:rPr>
      <w:rFonts w:ascii="Times New Roman" w:eastAsia="BatangChe" w:hAnsi="Times New Roman" w:cs="Times New Roman"/>
      <w:kern w:val="0"/>
      <w:sz w:val="24"/>
      <w:szCs w:val="24"/>
      <w:lang w:eastAsia="en-US"/>
    </w:rPr>
  </w:style>
  <w:style w:type="character" w:styleId="a7">
    <w:name w:val="page number"/>
    <w:basedOn w:val="a0"/>
    <w:rsid w:val="00CA7570"/>
  </w:style>
  <w:style w:type="paragraph" w:styleId="a8">
    <w:name w:val="Balloon Text"/>
    <w:basedOn w:val="a"/>
    <w:link w:val="a9"/>
    <w:uiPriority w:val="99"/>
    <w:semiHidden/>
    <w:unhideWhenUsed/>
    <w:rsid w:val="00C0217C"/>
    <w:rPr>
      <w:rFonts w:ascii="Lucida Grande" w:hAnsi="Lucida Grande" w:cs="Lucida Grande"/>
      <w:sz w:val="18"/>
      <w:szCs w:val="18"/>
    </w:rPr>
  </w:style>
  <w:style w:type="character" w:customStyle="1" w:styleId="a9">
    <w:name w:val="吹き出し (文字)"/>
    <w:basedOn w:val="a0"/>
    <w:link w:val="a8"/>
    <w:uiPriority w:val="99"/>
    <w:semiHidden/>
    <w:rsid w:val="00C0217C"/>
    <w:rPr>
      <w:rFonts w:ascii="Lucida Grande" w:eastAsia="BatangChe" w:hAnsi="Lucida Grande" w:cs="Lucida Grande"/>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409</Words>
  <Characters>2335</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総務部 ＪＡＲＬ</dc:creator>
  <cp:keywords/>
  <dc:description/>
  <cp:lastModifiedBy>Yamamoto Ken</cp:lastModifiedBy>
  <cp:revision>8</cp:revision>
  <dcterms:created xsi:type="dcterms:W3CDTF">2018-09-07T04:08:00Z</dcterms:created>
  <dcterms:modified xsi:type="dcterms:W3CDTF">2018-09-08T12:38:00Z</dcterms:modified>
</cp:coreProperties>
</file>